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EA02" w14:textId="115242CC" w:rsidR="00A13061" w:rsidRDefault="00A13061" w:rsidP="0081042B">
      <w:pPr>
        <w:pStyle w:val="Heading1"/>
        <w:spacing w:before="0" w:after="0" w:line="240" w:lineRule="auto"/>
        <w:jc w:val="center"/>
        <w:rPr>
          <w:bCs w:val="0"/>
        </w:rPr>
      </w:pPr>
      <w:r>
        <w:rPr>
          <w:bCs w:val="0"/>
        </w:rPr>
        <w:t>Supplement to J.K. Lasser’s Small Business Taxes 20</w:t>
      </w:r>
      <w:r w:rsidR="00D302B7">
        <w:rPr>
          <w:bCs w:val="0"/>
        </w:rPr>
        <w:t>2</w:t>
      </w:r>
      <w:r w:rsidR="001D2547">
        <w:rPr>
          <w:bCs w:val="0"/>
        </w:rPr>
        <w:t>2</w:t>
      </w:r>
    </w:p>
    <w:p w14:paraId="596844BD" w14:textId="77777777" w:rsidR="00A13061" w:rsidRDefault="00A13061" w:rsidP="0081042B">
      <w:pPr>
        <w:pStyle w:val="Heading6"/>
        <w:spacing w:after="0" w:line="240" w:lineRule="auto"/>
        <w:rPr>
          <w:bCs w:val="0"/>
        </w:rPr>
      </w:pPr>
      <w:r>
        <w:rPr>
          <w:bCs w:val="0"/>
        </w:rPr>
        <w:t>By Barbara Weltman</w:t>
      </w:r>
    </w:p>
    <w:p w14:paraId="6BA4178B" w14:textId="77777777" w:rsidR="0081042B" w:rsidRDefault="0081042B" w:rsidP="0081042B">
      <w:pPr>
        <w:spacing w:after="0"/>
      </w:pPr>
      <w:bookmarkStart w:id="0" w:name="_Hlk60559378"/>
      <w:bookmarkStart w:id="1" w:name="_Hlk28503687"/>
    </w:p>
    <w:p w14:paraId="1021E3CD" w14:textId="7CC562AC" w:rsidR="00A13061" w:rsidRPr="000D1F6B" w:rsidRDefault="00A13061" w:rsidP="00F505AB">
      <w:pPr>
        <w:spacing w:after="0"/>
        <w:rPr>
          <w:color w:val="FF0000"/>
        </w:rPr>
      </w:pPr>
      <w:r w:rsidRPr="00A17616">
        <w:t xml:space="preserve">The </w:t>
      </w:r>
      <w:r w:rsidR="001F7D1E">
        <w:t xml:space="preserve">pandemic triggered numerous changes in </w:t>
      </w:r>
      <w:r w:rsidRPr="00A17616">
        <w:t>tax law</w:t>
      </w:r>
      <w:r w:rsidR="001F7D1E">
        <w:t xml:space="preserve"> as reflected in the book. But tax law</w:t>
      </w:r>
      <w:r w:rsidRPr="00A17616">
        <w:t xml:space="preserve"> is not static</w:t>
      </w:r>
      <w:r w:rsidR="001F7D1E">
        <w:t xml:space="preserve"> and new legislation, IRS pronouncements, and court decisions continue to tweak tax rules. They impact reporting </w:t>
      </w:r>
      <w:proofErr w:type="gramStart"/>
      <w:r w:rsidR="001F7D1E">
        <w:t>on</w:t>
      </w:r>
      <w:proofErr w:type="gramEnd"/>
      <w:r w:rsidR="001F7D1E">
        <w:t xml:space="preserve"> 202</w:t>
      </w:r>
      <w:r w:rsidR="00D302B7">
        <w:t>1</w:t>
      </w:r>
      <w:r w:rsidR="001F7D1E">
        <w:t xml:space="preserve"> returns as well as tax planning for 202</w:t>
      </w:r>
      <w:r w:rsidR="00D302B7">
        <w:t>2</w:t>
      </w:r>
      <w:r w:rsidR="001F7D1E">
        <w:t xml:space="preserve"> and beyond. </w:t>
      </w:r>
    </w:p>
    <w:p w14:paraId="43C2A919" w14:textId="5D2E4D54" w:rsidR="0055569C" w:rsidRPr="007F5ACF" w:rsidRDefault="00174764" w:rsidP="00F505AB">
      <w:pPr>
        <w:spacing w:after="0"/>
        <w:ind w:firstLine="720"/>
      </w:pPr>
      <w:bookmarkStart w:id="2" w:name="_Hlk93223410"/>
      <w:r>
        <w:t>The Infrastructure Investment and Jobs Act of 2021 was signed into law on November 15, 2021</w:t>
      </w:r>
      <w:r w:rsidR="0055569C">
        <w:t xml:space="preserve">. </w:t>
      </w:r>
      <w:r w:rsidR="00562852">
        <w:t xml:space="preserve">It ended the employee retention early (on September 30, 2021, rather than December 31, 2021) for businesses other than for certain start-up businesses. It also introduced reporting requirements for digital transactions, but this begins for transactions in 2023. </w:t>
      </w:r>
      <w:bookmarkEnd w:id="2"/>
      <w:r w:rsidR="0055569C">
        <w:t xml:space="preserve">The Build Back Better Act failed to pass Congress before the end of 2021. Whether and to what extent it may be enacted in 2022 remains to be seen. Most provisions were not set to apply in 2021, but </w:t>
      </w:r>
      <w:r w:rsidR="009A25C9">
        <w:t xml:space="preserve">if there is a renewed push for legislation </w:t>
      </w:r>
      <w:r w:rsidR="0055569C">
        <w:t>watch for possible changes for 2022 that may impact estimated taxes.</w:t>
      </w:r>
    </w:p>
    <w:p w14:paraId="76C6848F" w14:textId="728B72CB" w:rsidR="00A13061" w:rsidRPr="001560C9" w:rsidRDefault="00A13061" w:rsidP="00F505AB">
      <w:pPr>
        <w:spacing w:after="0"/>
        <w:ind w:firstLine="720"/>
        <w:rPr>
          <w:rFonts w:ascii="Book Antiqua" w:hAnsi="Book Antiqua"/>
        </w:rPr>
      </w:pPr>
      <w:r>
        <w:t>The changes presented in this Supplement</w:t>
      </w:r>
      <w:r w:rsidR="00296F03">
        <w:t xml:space="preserve"> occurred after </w:t>
      </w:r>
      <w:r w:rsidR="00D302B7">
        <w:t>November</w:t>
      </w:r>
      <w:r w:rsidR="00296F03">
        <w:t xml:space="preserve"> 1, 202</w:t>
      </w:r>
      <w:r w:rsidR="00D302B7">
        <w:t>1</w:t>
      </w:r>
      <w:r w:rsidR="008417C2">
        <w:t>, when this book was published</w:t>
      </w:r>
      <w:r w:rsidR="00296F03">
        <w:t xml:space="preserve">. </w:t>
      </w:r>
      <w:r w:rsidR="008417C2">
        <w:t>The changes</w:t>
      </w:r>
      <w:r w:rsidR="00296F03">
        <w:t xml:space="preserve"> are </w:t>
      </w:r>
      <w:r w:rsidR="00482E06">
        <w:t>listed</w:t>
      </w:r>
      <w:r w:rsidR="00296F03">
        <w:t xml:space="preserve"> according to the </w:t>
      </w:r>
      <w:r>
        <w:t xml:space="preserve">chapters in </w:t>
      </w:r>
      <w:r w:rsidR="00296F03">
        <w:t>which the subject matters appear</w:t>
      </w:r>
      <w:r>
        <w:t xml:space="preserve">. </w:t>
      </w:r>
      <w:bookmarkEnd w:id="0"/>
      <w:r w:rsidR="00B2291F">
        <w:t>Be sure to note which changes apply to 2021 returns and which apply for purposes of figuring 2022 estimated taxes.</w:t>
      </w:r>
    </w:p>
    <w:bookmarkEnd w:id="1"/>
    <w:p w14:paraId="4C114AEA" w14:textId="77777777" w:rsidR="0081042B" w:rsidRDefault="0081042B" w:rsidP="0081042B">
      <w:pPr>
        <w:pStyle w:val="Heading2"/>
        <w:spacing w:before="0" w:after="0"/>
      </w:pPr>
    </w:p>
    <w:p w14:paraId="38D86719" w14:textId="1128249D" w:rsidR="00A13061" w:rsidRPr="0063790F" w:rsidRDefault="00A13061" w:rsidP="0081042B">
      <w:pPr>
        <w:pStyle w:val="Heading2"/>
        <w:spacing w:before="0" w:after="0"/>
      </w:pPr>
      <w:r w:rsidRPr="0063790F">
        <w:t>Introduction</w:t>
      </w:r>
    </w:p>
    <w:p w14:paraId="60F7FB61" w14:textId="77777777" w:rsidR="00A13061" w:rsidRDefault="00A13061" w:rsidP="0081042B">
      <w:pPr>
        <w:spacing w:after="0"/>
      </w:pPr>
      <w:r>
        <w:rPr>
          <w:b/>
          <w:i/>
        </w:rPr>
        <w:t xml:space="preserve">Forms and schedules. </w:t>
      </w:r>
      <w:r>
        <w:t xml:space="preserve">When this edition was published, final versions of forms were not yet available. Find final versions of forms and schedules </w:t>
      </w:r>
      <w:hyperlink r:id="rId5" w:history="1">
        <w:r w:rsidRPr="00194CE2">
          <w:rPr>
            <w:rStyle w:val="Hyperlink"/>
          </w:rPr>
          <w:t>here</w:t>
        </w:r>
      </w:hyperlink>
      <w:r>
        <w:t xml:space="preserve">. </w:t>
      </w:r>
    </w:p>
    <w:p w14:paraId="43791BA0" w14:textId="77777777" w:rsidR="0081042B" w:rsidRDefault="0081042B" w:rsidP="0081042B">
      <w:pPr>
        <w:spacing w:after="0"/>
        <w:rPr>
          <w:b/>
          <w:bCs/>
          <w:i/>
          <w:iCs/>
        </w:rPr>
      </w:pPr>
    </w:p>
    <w:p w14:paraId="4BEB0DFA" w14:textId="77777777" w:rsidR="0081042B" w:rsidRDefault="0081042B" w:rsidP="0081042B">
      <w:pPr>
        <w:pStyle w:val="Heading2"/>
        <w:spacing w:before="0" w:after="0"/>
      </w:pPr>
    </w:p>
    <w:p w14:paraId="77E78DA6" w14:textId="429CD2CD" w:rsidR="000B55C5" w:rsidRPr="0063790F" w:rsidRDefault="000B55C5" w:rsidP="000B55C5">
      <w:pPr>
        <w:pStyle w:val="Heading2"/>
        <w:spacing w:before="0" w:after="0"/>
      </w:pPr>
      <w:r>
        <w:t>Chapter 1—Business Organization</w:t>
      </w:r>
    </w:p>
    <w:p w14:paraId="1D9B972B" w14:textId="30114C6A" w:rsidR="00D302B7" w:rsidRDefault="00066368" w:rsidP="000B55C5">
      <w:pPr>
        <w:pStyle w:val="Heading2"/>
        <w:spacing w:before="0" w:after="0"/>
        <w:rPr>
          <w:rFonts w:ascii="Times New Roman" w:hAnsi="Times New Roman"/>
          <w:b w:val="0"/>
          <w:bCs w:val="0"/>
          <w:iCs/>
          <w:sz w:val="24"/>
          <w:szCs w:val="24"/>
        </w:rPr>
      </w:pPr>
      <w:r>
        <w:rPr>
          <w:rFonts w:ascii="Times New Roman" w:hAnsi="Times New Roman"/>
          <w:i/>
          <w:sz w:val="24"/>
          <w:szCs w:val="24"/>
        </w:rPr>
        <w:t xml:space="preserve">Schedules K-2 and K-3 for partnerships and S corporations. </w:t>
      </w:r>
      <w:r>
        <w:rPr>
          <w:rFonts w:ascii="Times New Roman" w:hAnsi="Times New Roman"/>
          <w:b w:val="0"/>
          <w:bCs w:val="0"/>
          <w:iCs/>
          <w:sz w:val="24"/>
          <w:szCs w:val="24"/>
        </w:rPr>
        <w:t xml:space="preserve">These entities that have foreign activities must complete new Schedules K-2 and K-3 to report owners’ shares of income, expenses, credits, etc. from these business activities. The IRS said it won’t impose penalties for errors in these forms </w:t>
      </w:r>
      <w:proofErr w:type="gramStart"/>
      <w:r>
        <w:rPr>
          <w:rFonts w:ascii="Times New Roman" w:hAnsi="Times New Roman"/>
          <w:b w:val="0"/>
          <w:bCs w:val="0"/>
          <w:iCs/>
          <w:sz w:val="24"/>
          <w:szCs w:val="24"/>
        </w:rPr>
        <w:t>as long as</w:t>
      </w:r>
      <w:proofErr w:type="gramEnd"/>
      <w:r>
        <w:rPr>
          <w:rFonts w:ascii="Times New Roman" w:hAnsi="Times New Roman"/>
          <w:b w:val="0"/>
          <w:bCs w:val="0"/>
          <w:iCs/>
          <w:sz w:val="24"/>
          <w:szCs w:val="24"/>
        </w:rPr>
        <w:t xml:space="preserve"> a good faith effort is made to be correct.</w:t>
      </w:r>
    </w:p>
    <w:p w14:paraId="22AD4DDC" w14:textId="10075D8A" w:rsidR="00066368" w:rsidRPr="00725384" w:rsidRDefault="00066368" w:rsidP="00066368">
      <w:r>
        <w:tab/>
        <w:t xml:space="preserve">The IRS won’t accept </w:t>
      </w:r>
      <w:r w:rsidR="00725384">
        <w:t xml:space="preserve">through the Modernized </w:t>
      </w:r>
      <w:r>
        <w:t>e-</w:t>
      </w:r>
      <w:r w:rsidR="00725384">
        <w:t>F</w:t>
      </w:r>
      <w:r>
        <w:t>ile</w:t>
      </w:r>
      <w:r w:rsidR="00725384">
        <w:t xml:space="preserve"> (</w:t>
      </w:r>
      <w:proofErr w:type="spellStart"/>
      <w:r w:rsidR="00725384">
        <w:t>MeF</w:t>
      </w:r>
      <w:proofErr w:type="spellEnd"/>
      <w:r w:rsidR="00725384">
        <w:t xml:space="preserve">)/Extensible Markup Language (XML) electronic filing of Schedules </w:t>
      </w:r>
      <w:r>
        <w:t>K-2 and K-3 of the 2021 Form 1065 until March 20, 2022</w:t>
      </w:r>
      <w:r w:rsidR="006F3C4A">
        <w:t>,</w:t>
      </w:r>
      <w:r>
        <w:t xml:space="preserve"> and </w:t>
      </w:r>
      <w:r w:rsidR="00E84150">
        <w:t>Schedules</w:t>
      </w:r>
      <w:r>
        <w:t xml:space="preserve"> K-2 and K-3 of the 2021 Form 1120-S until mid-June 2022. </w:t>
      </w:r>
      <w:r w:rsidR="00E01F15">
        <w:t xml:space="preserve">These dates may change, so check the </w:t>
      </w:r>
      <w:hyperlink r:id="rId6" w:history="1">
        <w:r w:rsidR="00E01F15" w:rsidRPr="00E01F15">
          <w:rPr>
            <w:rStyle w:val="Hyperlink"/>
          </w:rPr>
          <w:t>IRS timeframe</w:t>
        </w:r>
      </w:hyperlink>
      <w:r w:rsidR="00E01F15">
        <w:t xml:space="preserve">. </w:t>
      </w:r>
      <w:r w:rsidR="00725384" w:rsidRPr="00725384">
        <w:rPr>
          <w:shd w:val="clear" w:color="auto" w:fill="FFFFFF"/>
        </w:rPr>
        <w:t xml:space="preserve">If you electronically file </w:t>
      </w:r>
      <w:r w:rsidR="00725384">
        <w:rPr>
          <w:shd w:val="clear" w:color="auto" w:fill="FFFFFF"/>
        </w:rPr>
        <w:t xml:space="preserve">Form 1065 or 1102-S </w:t>
      </w:r>
      <w:r w:rsidR="00E84150">
        <w:rPr>
          <w:shd w:val="clear" w:color="auto" w:fill="FFFFFF"/>
        </w:rPr>
        <w:t xml:space="preserve">with Schedules K-2 and K-3 </w:t>
      </w:r>
      <w:r w:rsidR="00725384" w:rsidRPr="00725384">
        <w:rPr>
          <w:shd w:val="clear" w:color="auto" w:fill="FFFFFF"/>
        </w:rPr>
        <w:t xml:space="preserve">before the </w:t>
      </w:r>
      <w:r w:rsidR="00725384">
        <w:rPr>
          <w:shd w:val="clear" w:color="auto" w:fill="FFFFFF"/>
        </w:rPr>
        <w:t xml:space="preserve">applicable </w:t>
      </w:r>
      <w:r w:rsidR="00725384" w:rsidRPr="00725384">
        <w:rPr>
          <w:shd w:val="clear" w:color="auto" w:fill="FFFFFF"/>
        </w:rPr>
        <w:t>timeframe, submit the schedules as separate PDF files attached to the return.</w:t>
      </w:r>
    </w:p>
    <w:p w14:paraId="10EC96AA" w14:textId="77777777" w:rsidR="000B55C5" w:rsidRDefault="000B55C5" w:rsidP="000B55C5">
      <w:pPr>
        <w:pStyle w:val="Heading2"/>
        <w:spacing w:before="0" w:after="0"/>
      </w:pPr>
    </w:p>
    <w:p w14:paraId="012DB5A4" w14:textId="4876CEE9" w:rsidR="00A13061" w:rsidRDefault="00A13061" w:rsidP="000B55C5">
      <w:pPr>
        <w:pStyle w:val="Heading2"/>
        <w:spacing w:before="0" w:after="0"/>
      </w:pPr>
      <w:r>
        <w:t xml:space="preserve">Chapter </w:t>
      </w:r>
      <w:r w:rsidR="00930D18">
        <w:t>2</w:t>
      </w:r>
      <w:r>
        <w:t>—</w:t>
      </w:r>
      <w:r w:rsidR="00930D18">
        <w:t>Tax Year and Accounting Method</w:t>
      </w:r>
      <w:r w:rsidRPr="00F153AF">
        <w:t xml:space="preserve"> </w:t>
      </w:r>
    </w:p>
    <w:p w14:paraId="52BF787B" w14:textId="77777777" w:rsidR="00E84150" w:rsidRDefault="005E6266" w:rsidP="005E6266">
      <w:pPr>
        <w:pStyle w:val="Heading2"/>
        <w:spacing w:before="0" w:after="0"/>
        <w:rPr>
          <w:rFonts w:ascii="Times New Roman" w:hAnsi="Times New Roman"/>
          <w:b w:val="0"/>
          <w:bCs w:val="0"/>
          <w:sz w:val="24"/>
          <w:szCs w:val="24"/>
        </w:rPr>
      </w:pPr>
      <w:r>
        <w:rPr>
          <w:rFonts w:ascii="Times New Roman" w:hAnsi="Times New Roman"/>
          <w:i/>
          <w:sz w:val="24"/>
          <w:szCs w:val="24"/>
        </w:rPr>
        <w:t>Change in accounting method</w:t>
      </w:r>
      <w:r w:rsidRPr="000B55C5">
        <w:rPr>
          <w:rFonts w:ascii="Times New Roman" w:hAnsi="Times New Roman"/>
          <w:i/>
          <w:sz w:val="24"/>
          <w:szCs w:val="24"/>
        </w:rPr>
        <w:t xml:space="preserve">. </w:t>
      </w:r>
      <w:r>
        <w:rPr>
          <w:rFonts w:ascii="Times New Roman" w:hAnsi="Times New Roman"/>
          <w:b w:val="0"/>
          <w:bCs w:val="0"/>
          <w:sz w:val="24"/>
          <w:szCs w:val="24"/>
        </w:rPr>
        <w:t>Form 3115</w:t>
      </w:r>
      <w:r w:rsidR="00BA7F8E">
        <w:rPr>
          <w:rFonts w:ascii="Times New Roman" w:hAnsi="Times New Roman"/>
          <w:b w:val="0"/>
          <w:bCs w:val="0"/>
          <w:sz w:val="24"/>
          <w:szCs w:val="24"/>
        </w:rPr>
        <w:t xml:space="preserve"> </w:t>
      </w:r>
      <w:r>
        <w:rPr>
          <w:rFonts w:ascii="Times New Roman" w:hAnsi="Times New Roman"/>
          <w:b w:val="0"/>
          <w:bCs w:val="0"/>
          <w:sz w:val="24"/>
          <w:szCs w:val="24"/>
        </w:rPr>
        <w:t xml:space="preserve">used by a business to change its method of accounting can be filed using a digital signature even though the form cannot be filed electronically. This </w:t>
      </w:r>
      <w:r w:rsidR="00D5237C">
        <w:rPr>
          <w:rFonts w:ascii="Times New Roman" w:hAnsi="Times New Roman"/>
          <w:b w:val="0"/>
          <w:bCs w:val="0"/>
          <w:sz w:val="24"/>
          <w:szCs w:val="24"/>
        </w:rPr>
        <w:t xml:space="preserve">e-signature </w:t>
      </w:r>
      <w:r>
        <w:rPr>
          <w:rFonts w:ascii="Times New Roman" w:hAnsi="Times New Roman"/>
          <w:b w:val="0"/>
          <w:bCs w:val="0"/>
          <w:sz w:val="24"/>
          <w:szCs w:val="24"/>
        </w:rPr>
        <w:t>rule</w:t>
      </w:r>
      <w:r w:rsidR="00D5237C">
        <w:rPr>
          <w:rFonts w:ascii="Times New Roman" w:hAnsi="Times New Roman"/>
          <w:b w:val="0"/>
          <w:bCs w:val="0"/>
          <w:sz w:val="24"/>
          <w:szCs w:val="24"/>
        </w:rPr>
        <w:t xml:space="preserve">, first permitted early in the pandemic, has been extended </w:t>
      </w:r>
      <w:r>
        <w:rPr>
          <w:rFonts w:ascii="Times New Roman" w:hAnsi="Times New Roman"/>
          <w:b w:val="0"/>
          <w:bCs w:val="0"/>
          <w:sz w:val="24"/>
          <w:szCs w:val="24"/>
        </w:rPr>
        <w:t xml:space="preserve">through </w:t>
      </w:r>
      <w:r w:rsidR="00D5237C">
        <w:rPr>
          <w:rFonts w:ascii="Times New Roman" w:hAnsi="Times New Roman"/>
          <w:b w:val="0"/>
          <w:bCs w:val="0"/>
          <w:sz w:val="24"/>
          <w:szCs w:val="24"/>
        </w:rPr>
        <w:t xml:space="preserve">October </w:t>
      </w:r>
      <w:r>
        <w:rPr>
          <w:rFonts w:ascii="Times New Roman" w:hAnsi="Times New Roman"/>
          <w:b w:val="0"/>
          <w:bCs w:val="0"/>
          <w:sz w:val="24"/>
          <w:szCs w:val="24"/>
        </w:rPr>
        <w:t>31, 202</w:t>
      </w:r>
      <w:r w:rsidR="00D5237C">
        <w:rPr>
          <w:rFonts w:ascii="Times New Roman" w:hAnsi="Times New Roman"/>
          <w:b w:val="0"/>
          <w:bCs w:val="0"/>
          <w:sz w:val="24"/>
          <w:szCs w:val="24"/>
        </w:rPr>
        <w:t>3.</w:t>
      </w:r>
    </w:p>
    <w:p w14:paraId="0ECA0CDA" w14:textId="2B049F91" w:rsidR="005E6266" w:rsidRDefault="00E84150" w:rsidP="005E6266">
      <w:pPr>
        <w:pStyle w:val="Heading2"/>
        <w:spacing w:before="0" w:after="0"/>
      </w:pPr>
      <w:r>
        <w:rPr>
          <w:rFonts w:ascii="Times New Roman" w:hAnsi="Times New Roman"/>
          <w:b w:val="0"/>
          <w:bCs w:val="0"/>
          <w:sz w:val="24"/>
          <w:szCs w:val="24"/>
        </w:rPr>
        <w:tab/>
        <w:t xml:space="preserve">The IRS has released an </w:t>
      </w:r>
      <w:hyperlink r:id="rId7" w:history="1">
        <w:r w:rsidRPr="009246EC">
          <w:rPr>
            <w:rStyle w:val="Hyperlink"/>
            <w:rFonts w:ascii="Times New Roman" w:hAnsi="Times New Roman"/>
            <w:b w:val="0"/>
            <w:bCs w:val="0"/>
            <w:sz w:val="24"/>
            <w:szCs w:val="24"/>
          </w:rPr>
          <w:t>updated list</w:t>
        </w:r>
      </w:hyperlink>
      <w:r>
        <w:rPr>
          <w:rFonts w:ascii="Times New Roman" w:hAnsi="Times New Roman"/>
          <w:b w:val="0"/>
          <w:bCs w:val="0"/>
          <w:sz w:val="24"/>
          <w:szCs w:val="24"/>
        </w:rPr>
        <w:t xml:space="preserve"> of automatic changes in accounting methods. The changes generally are effective for </w:t>
      </w:r>
      <w:r w:rsidR="009246EC">
        <w:rPr>
          <w:rFonts w:ascii="Times New Roman" w:hAnsi="Times New Roman"/>
          <w:b w:val="0"/>
          <w:bCs w:val="0"/>
          <w:sz w:val="24"/>
          <w:szCs w:val="24"/>
        </w:rPr>
        <w:t>Forms 3115 filed on or after January 31, 2022, for a year of change ending on or after May 31, 2021, if filed under automatic change procedures from 2015 and later.</w:t>
      </w:r>
      <w:r w:rsidR="005E6266">
        <w:t xml:space="preserve"> </w:t>
      </w:r>
    </w:p>
    <w:p w14:paraId="3640940C" w14:textId="77777777" w:rsidR="00930D18" w:rsidRDefault="00930D18" w:rsidP="0081042B">
      <w:pPr>
        <w:pStyle w:val="Heading2"/>
        <w:spacing w:before="0" w:after="0"/>
      </w:pPr>
    </w:p>
    <w:p w14:paraId="54BCAE82" w14:textId="550830AF" w:rsidR="00A13061" w:rsidRPr="004469FD" w:rsidRDefault="008378F5" w:rsidP="0081042B">
      <w:pPr>
        <w:pStyle w:val="Heading2"/>
        <w:spacing w:before="0" w:after="0"/>
      </w:pPr>
      <w:r>
        <w:t>C</w:t>
      </w:r>
      <w:r w:rsidR="00A13061" w:rsidRPr="004469FD">
        <w:t>hapter 4—Income or Loss from Business Operations</w:t>
      </w:r>
    </w:p>
    <w:p w14:paraId="42CD03EC" w14:textId="2E361FE8" w:rsidR="00D302B7" w:rsidRDefault="00306155" w:rsidP="00D302B7">
      <w:pPr>
        <w:spacing w:after="0"/>
        <w:rPr>
          <w:shd w:val="clear" w:color="auto" w:fill="FFFFFF"/>
        </w:rPr>
      </w:pPr>
      <w:r>
        <w:rPr>
          <w:b/>
          <w:i/>
        </w:rPr>
        <w:t xml:space="preserve">Excess business losses. </w:t>
      </w:r>
      <w:r>
        <w:rPr>
          <w:bCs/>
          <w:iCs/>
        </w:rPr>
        <w:t xml:space="preserve">Noncorporate taxpayers (e.g., owners of pass-through entities) are subject to a limit on the </w:t>
      </w:r>
      <w:proofErr w:type="gramStart"/>
      <w:r>
        <w:rPr>
          <w:bCs/>
          <w:iCs/>
        </w:rPr>
        <w:t>amount</w:t>
      </w:r>
      <w:proofErr w:type="gramEnd"/>
      <w:r>
        <w:rPr>
          <w:bCs/>
          <w:iCs/>
        </w:rPr>
        <w:t xml:space="preserve"> of losses claimed on the current return. </w:t>
      </w:r>
      <w:r w:rsidRPr="00306155">
        <w:rPr>
          <w:shd w:val="clear" w:color="auto" w:fill="FFFFFF"/>
        </w:rPr>
        <w:t xml:space="preserve">An excess business loss is the amount by which the total deductions attributable to </w:t>
      </w:r>
      <w:proofErr w:type="gramStart"/>
      <w:r w:rsidRPr="00306155">
        <w:rPr>
          <w:shd w:val="clear" w:color="auto" w:fill="FFFFFF"/>
        </w:rPr>
        <w:t>all of</w:t>
      </w:r>
      <w:proofErr w:type="gramEnd"/>
      <w:r w:rsidRPr="00306155">
        <w:rPr>
          <w:shd w:val="clear" w:color="auto" w:fill="FFFFFF"/>
        </w:rPr>
        <w:t xml:space="preserve"> your trades or businesses exceed your total gross income and gains attributable to those trades or businesses plus a threshold amount adjusted for cost of living. For taxable years beginning in 202</w:t>
      </w:r>
      <w:r>
        <w:rPr>
          <w:shd w:val="clear" w:color="auto" w:fill="FFFFFF"/>
        </w:rPr>
        <w:t>2</w:t>
      </w:r>
      <w:r w:rsidRPr="00306155">
        <w:rPr>
          <w:shd w:val="clear" w:color="auto" w:fill="FFFFFF"/>
        </w:rPr>
        <w:t>, the threshold amounts are $</w:t>
      </w:r>
      <w:r>
        <w:rPr>
          <w:shd w:val="clear" w:color="auto" w:fill="FFFFFF"/>
        </w:rPr>
        <w:t>270</w:t>
      </w:r>
      <w:r w:rsidRPr="00306155">
        <w:rPr>
          <w:shd w:val="clear" w:color="auto" w:fill="FFFFFF"/>
        </w:rPr>
        <w:t>,000 (or $5</w:t>
      </w:r>
      <w:r>
        <w:rPr>
          <w:shd w:val="clear" w:color="auto" w:fill="FFFFFF"/>
        </w:rPr>
        <w:t>40</w:t>
      </w:r>
      <w:r w:rsidRPr="00306155">
        <w:rPr>
          <w:shd w:val="clear" w:color="auto" w:fill="FFFFFF"/>
        </w:rPr>
        <w:t>,000 in the case of a joint return)</w:t>
      </w:r>
      <w:r>
        <w:rPr>
          <w:shd w:val="clear" w:color="auto" w:fill="FFFFFF"/>
        </w:rPr>
        <w:t xml:space="preserve"> (up from $262,000 and $524,000, respectively, in 2021)</w:t>
      </w:r>
      <w:r w:rsidRPr="00306155">
        <w:rPr>
          <w:shd w:val="clear" w:color="auto" w:fill="FFFFFF"/>
        </w:rPr>
        <w:t>. </w:t>
      </w:r>
    </w:p>
    <w:p w14:paraId="1E6AC853" w14:textId="77777777" w:rsidR="00306155" w:rsidRPr="00306155" w:rsidRDefault="00306155" w:rsidP="00D302B7">
      <w:pPr>
        <w:spacing w:after="0"/>
        <w:rPr>
          <w:b/>
          <w:i/>
        </w:rPr>
      </w:pPr>
    </w:p>
    <w:p w14:paraId="4884A7F5" w14:textId="4165FFEB" w:rsidR="00F11B28" w:rsidRDefault="00A13061" w:rsidP="00F11B28">
      <w:pPr>
        <w:spacing w:after="0"/>
      </w:pPr>
      <w:r>
        <w:rPr>
          <w:b/>
          <w:i/>
        </w:rPr>
        <w:t xml:space="preserve">Income earned abroad. </w:t>
      </w:r>
      <w:bookmarkStart w:id="3" w:name="_Hlk60563314"/>
      <w:r w:rsidR="00F11B28">
        <w:t>The earned income exclusion for 202</w:t>
      </w:r>
      <w:r w:rsidR="00167262">
        <w:t>2</w:t>
      </w:r>
      <w:r w:rsidR="00F11B28">
        <w:t xml:space="preserve"> is </w:t>
      </w:r>
      <w:r w:rsidR="00BA7F8E">
        <w:t>capped at</w:t>
      </w:r>
      <w:r w:rsidR="00F11B28">
        <w:t xml:space="preserve"> $</w:t>
      </w:r>
      <w:r w:rsidR="00D5237C">
        <w:t>112,000</w:t>
      </w:r>
      <w:r w:rsidR="00F11B28">
        <w:t xml:space="preserve"> (up from $</w:t>
      </w:r>
      <w:r w:rsidR="00167262">
        <w:t>108,700</w:t>
      </w:r>
      <w:r w:rsidR="00F11B28">
        <w:t xml:space="preserve"> in 202</w:t>
      </w:r>
      <w:r w:rsidR="00167262">
        <w:t>1</w:t>
      </w:r>
      <w:r w:rsidR="00F11B28">
        <w:t xml:space="preserve">). </w:t>
      </w:r>
    </w:p>
    <w:p w14:paraId="0117B291" w14:textId="6134B245" w:rsidR="00CE37E1" w:rsidRDefault="00CE37E1" w:rsidP="00F11B28">
      <w:pPr>
        <w:spacing w:after="0"/>
      </w:pPr>
    </w:p>
    <w:p w14:paraId="3DA7E818" w14:textId="53439BEC" w:rsidR="00CE37E1" w:rsidRPr="00CE37E1" w:rsidRDefault="00CE37E1" w:rsidP="00F11B28">
      <w:pPr>
        <w:spacing w:after="0"/>
      </w:pPr>
      <w:r>
        <w:rPr>
          <w:b/>
          <w:bCs/>
          <w:i/>
          <w:iCs/>
        </w:rPr>
        <w:t xml:space="preserve">Other limitations on business losses—basis for S corporation owners. </w:t>
      </w:r>
      <w:r>
        <w:t xml:space="preserve">Form 7203, </w:t>
      </w:r>
      <w:r>
        <w:rPr>
          <w:i/>
          <w:iCs/>
        </w:rPr>
        <w:t xml:space="preserve">S Corporation Shareholder Stock and Debt Basis Limitations, </w:t>
      </w:r>
      <w:r>
        <w:t xml:space="preserve">should be used </w:t>
      </w:r>
      <w:r w:rsidR="00725384">
        <w:t xml:space="preserve">to </w:t>
      </w:r>
      <w:r>
        <w:t xml:space="preserve">figure an owner’s basis reported on Schedule K-1 of Form 1120-S. This form replaces prior worksheets in the instructions to the K-1. </w:t>
      </w:r>
    </w:p>
    <w:bookmarkEnd w:id="3"/>
    <w:p w14:paraId="5EE17C79" w14:textId="77777777" w:rsidR="0081042B" w:rsidRDefault="0081042B" w:rsidP="0081042B">
      <w:pPr>
        <w:pStyle w:val="Heading2"/>
        <w:spacing w:before="0" w:after="0"/>
      </w:pPr>
    </w:p>
    <w:p w14:paraId="0BF57EFD" w14:textId="754122D0" w:rsidR="00A13061" w:rsidRPr="00E5115D" w:rsidRDefault="00A13061" w:rsidP="0081042B">
      <w:pPr>
        <w:pStyle w:val="Heading2"/>
        <w:spacing w:before="0" w:after="0"/>
      </w:pPr>
      <w:r>
        <w:t>Chapter 5—Capital Gains and Losses</w:t>
      </w:r>
    </w:p>
    <w:p w14:paraId="641564E2" w14:textId="5A1CB553" w:rsidR="00A13061" w:rsidRPr="00053C0A" w:rsidRDefault="00A13061" w:rsidP="0081042B">
      <w:pPr>
        <w:spacing w:after="0"/>
      </w:pPr>
      <w:r>
        <w:rPr>
          <w:b/>
          <w:i/>
        </w:rPr>
        <w:t>Taxable income breakpoints for capital gain rates in 202</w:t>
      </w:r>
      <w:r w:rsidR="00167262">
        <w:rPr>
          <w:b/>
          <w:i/>
        </w:rPr>
        <w:t>2</w:t>
      </w:r>
      <w:r>
        <w:rPr>
          <w:b/>
          <w:i/>
        </w:rPr>
        <w:t xml:space="preserve">. </w:t>
      </w:r>
      <w:r>
        <w:rPr>
          <w:b/>
        </w:rPr>
        <w:t xml:space="preserve"> </w:t>
      </w:r>
      <w:r w:rsidR="00BA7F8E">
        <w:t xml:space="preserve">Owners of pass-through entities who are individuals pay tax on their share of capital gains. </w:t>
      </w:r>
      <w:r>
        <w:t>The following table (</w:t>
      </w:r>
      <w:r w:rsidR="00BA7F8E">
        <w:t xml:space="preserve">an update to </w:t>
      </w:r>
      <w:r>
        <w:t>Table 5.1</w:t>
      </w:r>
      <w:r w:rsidR="00BA7F8E">
        <w:t xml:space="preserve"> in the book</w:t>
      </w:r>
      <w:r>
        <w:t>) shows the break points for capital gain rates for 202</w:t>
      </w:r>
      <w:r w:rsidR="00167262">
        <w:t>2</w:t>
      </w:r>
      <w:r>
        <w:t xml:space="preserve">; this </w:t>
      </w:r>
      <w:r w:rsidR="00BA7F8E">
        <w:t xml:space="preserve">Table </w:t>
      </w:r>
      <w:r>
        <w:t xml:space="preserve">does </w:t>
      </w:r>
      <w:r w:rsidRPr="00167262">
        <w:rPr>
          <w:b/>
          <w:bCs/>
        </w:rPr>
        <w:t>not</w:t>
      </w:r>
      <w:r>
        <w:t xml:space="preserve"> apply to 20</w:t>
      </w:r>
      <w:r w:rsidR="001B7D6B">
        <w:t>2</w:t>
      </w:r>
      <w:r w:rsidR="00167262">
        <w:t>1</w:t>
      </w:r>
      <w:r>
        <w:t xml:space="preserve"> returns. </w:t>
      </w:r>
    </w:p>
    <w:p w14:paraId="23CC1C0D" w14:textId="77777777" w:rsidR="00A13061" w:rsidRDefault="00A13061" w:rsidP="0081042B">
      <w:pPr>
        <w:spacing w:after="0"/>
      </w:pPr>
    </w:p>
    <w:tbl>
      <w:tblPr>
        <w:tblStyle w:val="TableGrid"/>
        <w:tblW w:w="0" w:type="auto"/>
        <w:tblLook w:val="04A0" w:firstRow="1" w:lastRow="0" w:firstColumn="1" w:lastColumn="0" w:noHBand="0" w:noVBand="1"/>
      </w:tblPr>
      <w:tblGrid>
        <w:gridCol w:w="985"/>
        <w:gridCol w:w="1980"/>
        <w:gridCol w:w="1800"/>
        <w:gridCol w:w="1890"/>
        <w:gridCol w:w="1975"/>
      </w:tblGrid>
      <w:tr w:rsidR="00A13061" w14:paraId="131663FE" w14:textId="77777777" w:rsidTr="00A05CFC">
        <w:tc>
          <w:tcPr>
            <w:tcW w:w="985" w:type="dxa"/>
          </w:tcPr>
          <w:p w14:paraId="685CF26A" w14:textId="77777777" w:rsidR="00A13061" w:rsidRPr="009D501F" w:rsidRDefault="00A13061" w:rsidP="0081042B">
            <w:pPr>
              <w:spacing w:after="0"/>
              <w:rPr>
                <w:b/>
              </w:rPr>
            </w:pPr>
            <w:bookmarkStart w:id="4" w:name="_Hlk28507897"/>
            <w:r w:rsidRPr="009D501F">
              <w:rPr>
                <w:b/>
              </w:rPr>
              <w:t>Rate</w:t>
            </w:r>
          </w:p>
        </w:tc>
        <w:tc>
          <w:tcPr>
            <w:tcW w:w="1980" w:type="dxa"/>
          </w:tcPr>
          <w:p w14:paraId="50CCC897" w14:textId="77777777" w:rsidR="00A13061" w:rsidRPr="009D501F" w:rsidRDefault="00A13061" w:rsidP="0081042B">
            <w:pPr>
              <w:spacing w:after="0"/>
              <w:rPr>
                <w:b/>
              </w:rPr>
            </w:pPr>
            <w:r w:rsidRPr="009D501F">
              <w:rPr>
                <w:b/>
              </w:rPr>
              <w:t>Married filing jointly</w:t>
            </w:r>
            <w:r>
              <w:rPr>
                <w:b/>
              </w:rPr>
              <w:t xml:space="preserve"> (and surviving spouse)</w:t>
            </w:r>
          </w:p>
        </w:tc>
        <w:tc>
          <w:tcPr>
            <w:tcW w:w="1800" w:type="dxa"/>
          </w:tcPr>
          <w:p w14:paraId="5B381AE7" w14:textId="77777777" w:rsidR="00A13061" w:rsidRPr="009D501F" w:rsidRDefault="00A13061" w:rsidP="0081042B">
            <w:pPr>
              <w:spacing w:after="0"/>
              <w:rPr>
                <w:b/>
              </w:rPr>
            </w:pPr>
            <w:r w:rsidRPr="009D501F">
              <w:rPr>
                <w:b/>
              </w:rPr>
              <w:t xml:space="preserve">Head of household </w:t>
            </w:r>
          </w:p>
        </w:tc>
        <w:tc>
          <w:tcPr>
            <w:tcW w:w="1890" w:type="dxa"/>
          </w:tcPr>
          <w:p w14:paraId="126CE5CA" w14:textId="77777777" w:rsidR="00A13061" w:rsidRPr="009D501F" w:rsidRDefault="00A13061" w:rsidP="0081042B">
            <w:pPr>
              <w:spacing w:after="0"/>
              <w:rPr>
                <w:b/>
              </w:rPr>
            </w:pPr>
            <w:r w:rsidRPr="009D501F">
              <w:rPr>
                <w:b/>
              </w:rPr>
              <w:t>Single</w:t>
            </w:r>
          </w:p>
        </w:tc>
        <w:tc>
          <w:tcPr>
            <w:tcW w:w="1975" w:type="dxa"/>
          </w:tcPr>
          <w:p w14:paraId="76B83000" w14:textId="77777777" w:rsidR="00A13061" w:rsidRPr="009D501F" w:rsidRDefault="00A13061" w:rsidP="0081042B">
            <w:pPr>
              <w:spacing w:after="0"/>
              <w:rPr>
                <w:b/>
              </w:rPr>
            </w:pPr>
            <w:r w:rsidRPr="009D501F">
              <w:rPr>
                <w:b/>
              </w:rPr>
              <w:t>Married filing separately</w:t>
            </w:r>
          </w:p>
        </w:tc>
      </w:tr>
      <w:tr w:rsidR="00A13061" w:rsidRPr="0063790F" w14:paraId="20FBE426" w14:textId="77777777" w:rsidTr="00A05CFC">
        <w:tc>
          <w:tcPr>
            <w:tcW w:w="985" w:type="dxa"/>
          </w:tcPr>
          <w:p w14:paraId="5D06C1A4" w14:textId="77777777" w:rsidR="00A13061" w:rsidRPr="00246125" w:rsidRDefault="00A13061" w:rsidP="0081042B">
            <w:pPr>
              <w:spacing w:after="0"/>
            </w:pPr>
            <w:r w:rsidRPr="00246125">
              <w:t>0%</w:t>
            </w:r>
          </w:p>
        </w:tc>
        <w:tc>
          <w:tcPr>
            <w:tcW w:w="1980" w:type="dxa"/>
          </w:tcPr>
          <w:p w14:paraId="673F9D86" w14:textId="3C18FAEC" w:rsidR="00A13061" w:rsidRPr="00246125" w:rsidRDefault="00A13061" w:rsidP="0081042B">
            <w:pPr>
              <w:spacing w:after="0"/>
            </w:pPr>
            <w:r w:rsidRPr="00246125">
              <w:t>Up to $</w:t>
            </w:r>
            <w:r w:rsidR="00D5237C">
              <w:t>83,350</w:t>
            </w:r>
          </w:p>
        </w:tc>
        <w:tc>
          <w:tcPr>
            <w:tcW w:w="1800" w:type="dxa"/>
          </w:tcPr>
          <w:p w14:paraId="0E8AFB91" w14:textId="1D965754" w:rsidR="00A13061" w:rsidRPr="00246125" w:rsidRDefault="00A13061" w:rsidP="0081042B">
            <w:pPr>
              <w:spacing w:after="0"/>
            </w:pPr>
            <w:r w:rsidRPr="00246125">
              <w:t>Up to $</w:t>
            </w:r>
            <w:r w:rsidR="00D5237C">
              <w:t>55,800</w:t>
            </w:r>
          </w:p>
        </w:tc>
        <w:tc>
          <w:tcPr>
            <w:tcW w:w="1890" w:type="dxa"/>
          </w:tcPr>
          <w:p w14:paraId="04E1B402" w14:textId="2145BA32" w:rsidR="00A13061" w:rsidRPr="00246125" w:rsidRDefault="00A13061" w:rsidP="0081042B">
            <w:pPr>
              <w:spacing w:after="0"/>
            </w:pPr>
            <w:r w:rsidRPr="00246125">
              <w:t>Up to $</w:t>
            </w:r>
            <w:r w:rsidR="00D5237C">
              <w:t>41,675</w:t>
            </w:r>
          </w:p>
        </w:tc>
        <w:tc>
          <w:tcPr>
            <w:tcW w:w="1975" w:type="dxa"/>
          </w:tcPr>
          <w:p w14:paraId="61C36B65" w14:textId="00AADC3E" w:rsidR="00A13061" w:rsidRPr="00246125" w:rsidRDefault="00A13061" w:rsidP="0081042B">
            <w:pPr>
              <w:spacing w:after="0"/>
            </w:pPr>
            <w:r w:rsidRPr="00246125">
              <w:t>Up to $</w:t>
            </w:r>
            <w:r w:rsidR="00D5237C">
              <w:t>41,675</w:t>
            </w:r>
          </w:p>
        </w:tc>
      </w:tr>
      <w:tr w:rsidR="00A13061" w:rsidRPr="0063790F" w14:paraId="3EC44A4A" w14:textId="77777777" w:rsidTr="00A05CFC">
        <w:tc>
          <w:tcPr>
            <w:tcW w:w="985" w:type="dxa"/>
          </w:tcPr>
          <w:p w14:paraId="7A6C5334" w14:textId="77777777" w:rsidR="00A13061" w:rsidRPr="00246125" w:rsidRDefault="00A13061" w:rsidP="0081042B">
            <w:pPr>
              <w:spacing w:after="0"/>
            </w:pPr>
            <w:r w:rsidRPr="00246125">
              <w:t>15%</w:t>
            </w:r>
          </w:p>
        </w:tc>
        <w:tc>
          <w:tcPr>
            <w:tcW w:w="1980" w:type="dxa"/>
          </w:tcPr>
          <w:p w14:paraId="28C0E415" w14:textId="66CAB09E" w:rsidR="00A13061" w:rsidRPr="00246125" w:rsidRDefault="00A13061" w:rsidP="0081042B">
            <w:pPr>
              <w:spacing w:after="0"/>
            </w:pPr>
            <w:r w:rsidRPr="00246125">
              <w:t>$</w:t>
            </w:r>
            <w:r w:rsidR="00D5237C">
              <w:t>83,351</w:t>
            </w:r>
            <w:r w:rsidRPr="00246125">
              <w:t xml:space="preserve"> - $</w:t>
            </w:r>
            <w:r w:rsidR="00D5237C">
              <w:t>517,200</w:t>
            </w:r>
          </w:p>
        </w:tc>
        <w:tc>
          <w:tcPr>
            <w:tcW w:w="1800" w:type="dxa"/>
          </w:tcPr>
          <w:p w14:paraId="0AFACC94" w14:textId="5362E0CB" w:rsidR="00A13061" w:rsidRPr="00246125" w:rsidRDefault="00A13061" w:rsidP="0081042B">
            <w:pPr>
              <w:spacing w:after="0"/>
            </w:pPr>
            <w:r w:rsidRPr="00246125">
              <w:t>$</w:t>
            </w:r>
            <w:r w:rsidR="00D5237C">
              <w:t>55,80</w:t>
            </w:r>
            <w:r w:rsidR="00B42A65">
              <w:t>1</w:t>
            </w:r>
            <w:r w:rsidRPr="00246125">
              <w:t xml:space="preserve"> - $</w:t>
            </w:r>
            <w:r w:rsidR="00D5237C">
              <w:t>488,500</w:t>
            </w:r>
          </w:p>
        </w:tc>
        <w:tc>
          <w:tcPr>
            <w:tcW w:w="1890" w:type="dxa"/>
          </w:tcPr>
          <w:p w14:paraId="5287002A" w14:textId="07F2E1A9" w:rsidR="00A13061" w:rsidRPr="00246125" w:rsidRDefault="00A13061" w:rsidP="0081042B">
            <w:pPr>
              <w:spacing w:after="0"/>
            </w:pPr>
            <w:r w:rsidRPr="00246125">
              <w:t>$</w:t>
            </w:r>
            <w:r w:rsidR="00D5237C">
              <w:t xml:space="preserve">41,676 </w:t>
            </w:r>
            <w:r w:rsidRPr="00246125">
              <w:t>- $</w:t>
            </w:r>
            <w:r w:rsidR="00D5237C">
              <w:t>459,750</w:t>
            </w:r>
          </w:p>
        </w:tc>
        <w:tc>
          <w:tcPr>
            <w:tcW w:w="1975" w:type="dxa"/>
          </w:tcPr>
          <w:p w14:paraId="201E2027" w14:textId="70BA1AE6" w:rsidR="00A13061" w:rsidRPr="00246125" w:rsidRDefault="00A13061" w:rsidP="0081042B">
            <w:pPr>
              <w:spacing w:after="0"/>
            </w:pPr>
            <w:r w:rsidRPr="00246125">
              <w:t>$</w:t>
            </w:r>
            <w:r w:rsidR="00D5237C">
              <w:t>41,676</w:t>
            </w:r>
            <w:r w:rsidRPr="00246125">
              <w:t xml:space="preserve"> - $</w:t>
            </w:r>
            <w:r w:rsidR="00D5237C">
              <w:t>258,600</w:t>
            </w:r>
          </w:p>
        </w:tc>
      </w:tr>
      <w:tr w:rsidR="00A13061" w14:paraId="7D515A87" w14:textId="77777777" w:rsidTr="00A05CFC">
        <w:tc>
          <w:tcPr>
            <w:tcW w:w="985" w:type="dxa"/>
          </w:tcPr>
          <w:p w14:paraId="0B62D5B9" w14:textId="77777777" w:rsidR="00A13061" w:rsidRPr="00246125" w:rsidRDefault="00A13061" w:rsidP="0081042B">
            <w:pPr>
              <w:spacing w:after="0"/>
            </w:pPr>
            <w:r w:rsidRPr="00246125">
              <w:t>20%</w:t>
            </w:r>
          </w:p>
        </w:tc>
        <w:tc>
          <w:tcPr>
            <w:tcW w:w="1980" w:type="dxa"/>
          </w:tcPr>
          <w:p w14:paraId="69ADCFB4" w14:textId="20876C2F" w:rsidR="00A13061" w:rsidRPr="00246125" w:rsidRDefault="00A13061" w:rsidP="0081042B">
            <w:pPr>
              <w:spacing w:after="0"/>
            </w:pPr>
            <w:r w:rsidRPr="00246125">
              <w:t>Over $</w:t>
            </w:r>
            <w:r w:rsidR="00D5237C">
              <w:t>517,200</w:t>
            </w:r>
          </w:p>
        </w:tc>
        <w:tc>
          <w:tcPr>
            <w:tcW w:w="1800" w:type="dxa"/>
          </w:tcPr>
          <w:p w14:paraId="4C0620C1" w14:textId="03BC5105" w:rsidR="00A13061" w:rsidRPr="00246125" w:rsidRDefault="00A13061" w:rsidP="0081042B">
            <w:pPr>
              <w:spacing w:after="0"/>
            </w:pPr>
            <w:r w:rsidRPr="00246125">
              <w:t>Over $</w:t>
            </w:r>
            <w:r w:rsidR="00D5237C">
              <w:t>488,500</w:t>
            </w:r>
          </w:p>
        </w:tc>
        <w:tc>
          <w:tcPr>
            <w:tcW w:w="1890" w:type="dxa"/>
          </w:tcPr>
          <w:p w14:paraId="22236954" w14:textId="07112379" w:rsidR="00A13061" w:rsidRPr="00246125" w:rsidRDefault="00A13061" w:rsidP="0081042B">
            <w:pPr>
              <w:spacing w:after="0"/>
            </w:pPr>
            <w:r w:rsidRPr="00246125">
              <w:t>Over $</w:t>
            </w:r>
            <w:r w:rsidR="00D5237C">
              <w:t>459,750</w:t>
            </w:r>
          </w:p>
        </w:tc>
        <w:tc>
          <w:tcPr>
            <w:tcW w:w="1975" w:type="dxa"/>
          </w:tcPr>
          <w:p w14:paraId="438C6D7E" w14:textId="6D92FE5F" w:rsidR="00A13061" w:rsidRPr="00246125" w:rsidRDefault="00A13061" w:rsidP="0081042B">
            <w:pPr>
              <w:spacing w:after="0"/>
            </w:pPr>
            <w:r w:rsidRPr="00246125">
              <w:t>Over $</w:t>
            </w:r>
            <w:r w:rsidR="00D5237C">
              <w:t>258,600</w:t>
            </w:r>
          </w:p>
        </w:tc>
      </w:tr>
      <w:bookmarkEnd w:id="4"/>
    </w:tbl>
    <w:p w14:paraId="350AF27E" w14:textId="1A651FC0" w:rsidR="00A13061" w:rsidRDefault="00A13061" w:rsidP="0081042B">
      <w:pPr>
        <w:spacing w:after="0"/>
      </w:pPr>
    </w:p>
    <w:p w14:paraId="05B58825" w14:textId="22A35D1D" w:rsidR="00F11B28" w:rsidRPr="00F91119" w:rsidRDefault="00F11B28" w:rsidP="0081042B">
      <w:pPr>
        <w:pStyle w:val="Heading2"/>
        <w:spacing w:before="0" w:after="0"/>
        <w:rPr>
          <w:sz w:val="24"/>
          <w:szCs w:val="24"/>
        </w:rPr>
      </w:pPr>
    </w:p>
    <w:p w14:paraId="1330C73A" w14:textId="76B12A6D" w:rsidR="00A13061" w:rsidRPr="00C46C64" w:rsidRDefault="00A13061" w:rsidP="0081042B">
      <w:pPr>
        <w:pStyle w:val="Heading2"/>
        <w:spacing w:before="0" w:after="0"/>
      </w:pPr>
      <w:r w:rsidRPr="00C46C64">
        <w:t>Chapter 7—Employee Compensation</w:t>
      </w:r>
    </w:p>
    <w:p w14:paraId="71506671" w14:textId="12A8C134" w:rsidR="00EA1944" w:rsidRPr="00EA1944" w:rsidRDefault="002A28C6" w:rsidP="0081042B">
      <w:pPr>
        <w:spacing w:after="0"/>
        <w:rPr>
          <w:bCs/>
          <w:iCs/>
        </w:rPr>
      </w:pPr>
      <w:r>
        <w:rPr>
          <w:b/>
          <w:i/>
        </w:rPr>
        <w:t xml:space="preserve">Worker classification. </w:t>
      </w:r>
      <w:r w:rsidR="00EA1944">
        <w:rPr>
          <w:bCs/>
          <w:iCs/>
        </w:rPr>
        <w:t xml:space="preserve">The </w:t>
      </w:r>
      <w:hyperlink r:id="rId8" w:history="1">
        <w:r w:rsidR="00EA1944" w:rsidRPr="00EA1944">
          <w:rPr>
            <w:rStyle w:val="Hyperlink"/>
            <w:bCs/>
            <w:iCs/>
          </w:rPr>
          <w:t>IRS has guidance</w:t>
        </w:r>
      </w:hyperlink>
      <w:r w:rsidR="00EA1944">
        <w:rPr>
          <w:bCs/>
          <w:iCs/>
        </w:rPr>
        <w:t xml:space="preserve"> on when employers may challenge in Tax Court an IRS notice on worker reclassification. </w:t>
      </w:r>
    </w:p>
    <w:p w14:paraId="2FA9F6D5" w14:textId="30316084" w:rsidR="006D416A" w:rsidRPr="00043D1E" w:rsidRDefault="00043D1E" w:rsidP="00EA1944">
      <w:pPr>
        <w:spacing w:after="0"/>
        <w:ind w:firstLine="720"/>
        <w:rPr>
          <w:bCs/>
          <w:iCs/>
        </w:rPr>
      </w:pPr>
      <w:r>
        <w:rPr>
          <w:bCs/>
          <w:iCs/>
        </w:rPr>
        <w:lastRenderedPageBreak/>
        <w:t>The</w:t>
      </w:r>
      <w:r w:rsidR="002A28C6" w:rsidRPr="00043D1E">
        <w:rPr>
          <w:bCs/>
          <w:iCs/>
        </w:rPr>
        <w:t xml:space="preserve"> ABC test for determining whether workers are employees or independent contractors </w:t>
      </w:r>
      <w:r>
        <w:rPr>
          <w:bCs/>
          <w:iCs/>
        </w:rPr>
        <w:t xml:space="preserve">for purposes of state wage and hour rules is now used in about 20 states. However, exceptions continue to be carved out for workers in certain industries. For example, </w:t>
      </w:r>
      <w:hyperlink r:id="rId9" w:history="1">
        <w:r w:rsidRPr="007E3DC4">
          <w:rPr>
            <w:rStyle w:val="Hyperlink"/>
            <w:bCs/>
            <w:iCs/>
          </w:rPr>
          <w:t>California extended</w:t>
        </w:r>
      </w:hyperlink>
      <w:r>
        <w:rPr>
          <w:bCs/>
          <w:iCs/>
        </w:rPr>
        <w:t xml:space="preserve"> the exemptions for licensed manicurists and construction trucking subcontractors through 2025.</w:t>
      </w:r>
    </w:p>
    <w:p w14:paraId="2684EDC5" w14:textId="69CF0B8E" w:rsidR="00F11B28" w:rsidRDefault="00F11B28" w:rsidP="0081042B">
      <w:pPr>
        <w:spacing w:after="0"/>
        <w:rPr>
          <w:bCs/>
          <w:iCs/>
        </w:rPr>
      </w:pPr>
      <w:r w:rsidRPr="00043D1E">
        <w:rPr>
          <w:bCs/>
          <w:iCs/>
        </w:rPr>
        <w:tab/>
      </w:r>
      <w:r w:rsidRPr="00E01F15">
        <w:rPr>
          <w:bCs/>
          <w:iCs/>
        </w:rPr>
        <w:t>The</w:t>
      </w:r>
      <w:r w:rsidR="00290656">
        <w:rPr>
          <w:bCs/>
          <w:iCs/>
        </w:rPr>
        <w:t xml:space="preserve"> U.S. Department of Labor (DOL) withdrew the final rule on</w:t>
      </w:r>
      <w:r w:rsidR="008809E3" w:rsidRPr="00E01F15">
        <w:rPr>
          <w:bCs/>
          <w:iCs/>
        </w:rPr>
        <w:t xml:space="preserve"> </w:t>
      </w:r>
      <w:r w:rsidRPr="00E01F15">
        <w:rPr>
          <w:bCs/>
          <w:iCs/>
        </w:rPr>
        <w:t xml:space="preserve">worker classification for purposes of the Fair Labor Standards Act, which governs minimum wage and overtime rules. </w:t>
      </w:r>
      <w:r w:rsidR="00290656">
        <w:rPr>
          <w:bCs/>
          <w:iCs/>
        </w:rPr>
        <w:t>As a result, the old “</w:t>
      </w:r>
      <w:r w:rsidR="00043D1E">
        <w:rPr>
          <w:bCs/>
          <w:iCs/>
        </w:rPr>
        <w:t>totality of the circumstances test</w:t>
      </w:r>
      <w:r w:rsidR="00290656">
        <w:rPr>
          <w:bCs/>
          <w:iCs/>
        </w:rPr>
        <w:t xml:space="preserve">” applies (see </w:t>
      </w:r>
      <w:hyperlink r:id="rId10" w:history="1">
        <w:r w:rsidR="00290656" w:rsidRPr="00290656">
          <w:rPr>
            <w:rStyle w:val="Hyperlink"/>
            <w:bCs/>
            <w:iCs/>
          </w:rPr>
          <w:t>Fact Sheet 13</w:t>
        </w:r>
      </w:hyperlink>
      <w:r w:rsidR="00290656">
        <w:rPr>
          <w:bCs/>
          <w:iCs/>
        </w:rPr>
        <w:t xml:space="preserve">). The </w:t>
      </w:r>
      <w:r w:rsidRPr="00E01F15">
        <w:rPr>
          <w:bCs/>
          <w:iCs/>
        </w:rPr>
        <w:t>DOL</w:t>
      </w:r>
      <w:r w:rsidR="00290656">
        <w:rPr>
          <w:bCs/>
          <w:iCs/>
        </w:rPr>
        <w:t xml:space="preserve"> has not proposed another rule. Nonetheless, the DOL</w:t>
      </w:r>
      <w:r w:rsidRPr="00E01F15">
        <w:rPr>
          <w:bCs/>
          <w:iCs/>
        </w:rPr>
        <w:t>’s definition of independent contractor does not displace the IRS standards for determining worker classification</w:t>
      </w:r>
      <w:r w:rsidR="008809E3" w:rsidRPr="00E01F15">
        <w:rPr>
          <w:bCs/>
          <w:iCs/>
        </w:rPr>
        <w:t xml:space="preserve"> for federal income and employment tax purposes (IRS rules for worker classification are explained in Chapter 7)</w:t>
      </w:r>
      <w:r w:rsidRPr="00E01F15">
        <w:rPr>
          <w:bCs/>
          <w:iCs/>
        </w:rPr>
        <w:t>.</w:t>
      </w:r>
    </w:p>
    <w:p w14:paraId="66AA5621" w14:textId="77777777" w:rsidR="00F11B28" w:rsidRDefault="00F11B28" w:rsidP="0081042B">
      <w:pPr>
        <w:spacing w:after="0"/>
        <w:rPr>
          <w:b/>
          <w:i/>
        </w:rPr>
      </w:pPr>
    </w:p>
    <w:p w14:paraId="5157B6E3" w14:textId="2D91B905" w:rsidR="00A13061" w:rsidRDefault="00A13061" w:rsidP="0081042B">
      <w:pPr>
        <w:spacing w:after="0"/>
      </w:pPr>
      <w:r>
        <w:rPr>
          <w:b/>
          <w:i/>
        </w:rPr>
        <w:t xml:space="preserve">Adoption assistance. </w:t>
      </w:r>
      <w:r>
        <w:t xml:space="preserve">For planning purposes, the dollar limit on the exclusion for employer assistance for adoption costs in </w:t>
      </w:r>
      <w:r w:rsidRPr="00F04456">
        <w:t>$</w:t>
      </w:r>
      <w:r w:rsidRPr="00174764">
        <w:t>14,</w:t>
      </w:r>
      <w:r w:rsidR="00174764">
        <w:t>89</w:t>
      </w:r>
      <w:r w:rsidRPr="00174764">
        <w:t>0</w:t>
      </w:r>
      <w:r w:rsidRPr="00FC40AE">
        <w:t xml:space="preserve"> for 20</w:t>
      </w:r>
      <w:r>
        <w:t>2</w:t>
      </w:r>
      <w:r w:rsidR="00167262">
        <w:t>2</w:t>
      </w:r>
      <w:r w:rsidRPr="00F04456">
        <w:t xml:space="preserve"> (up </w:t>
      </w:r>
      <w:r>
        <w:t>from $14,</w:t>
      </w:r>
      <w:r w:rsidR="00167262">
        <w:t>44</w:t>
      </w:r>
      <w:r w:rsidR="00374987">
        <w:t>0</w:t>
      </w:r>
      <w:r>
        <w:t xml:space="preserve"> in </w:t>
      </w:r>
      <w:r w:rsidRPr="00F04456">
        <w:t>20</w:t>
      </w:r>
      <w:r w:rsidR="00374987">
        <w:t>2</w:t>
      </w:r>
      <w:r w:rsidR="00167262">
        <w:t>1</w:t>
      </w:r>
      <w:r w:rsidRPr="00F04456">
        <w:t>).</w:t>
      </w:r>
    </w:p>
    <w:p w14:paraId="6A41FD6C" w14:textId="77777777" w:rsidR="00F11B28" w:rsidRDefault="00F11B28" w:rsidP="0081042B">
      <w:pPr>
        <w:spacing w:after="0"/>
        <w:rPr>
          <w:b/>
          <w:bCs/>
          <w:i/>
          <w:iCs/>
        </w:rPr>
      </w:pPr>
    </w:p>
    <w:p w14:paraId="2D1012DC" w14:textId="6C7C8563" w:rsidR="00A13061" w:rsidRPr="009A25C9" w:rsidRDefault="00A13061" w:rsidP="0081042B">
      <w:pPr>
        <w:spacing w:after="0"/>
        <w:rPr>
          <w:bCs/>
        </w:rPr>
      </w:pPr>
      <w:r>
        <w:rPr>
          <w:b/>
          <w:i/>
        </w:rPr>
        <w:t xml:space="preserve">Flexible spending accounts </w:t>
      </w:r>
      <w:r w:rsidR="008809E3">
        <w:rPr>
          <w:b/>
          <w:i/>
        </w:rPr>
        <w:t xml:space="preserve">(FSAs) </w:t>
      </w:r>
      <w:r>
        <w:rPr>
          <w:b/>
          <w:i/>
        </w:rPr>
        <w:t>for medical expenses</w:t>
      </w:r>
      <w:r w:rsidR="006F0981">
        <w:rPr>
          <w:b/>
          <w:i/>
        </w:rPr>
        <w:t xml:space="preserve"> and dependent care expenses</w:t>
      </w:r>
      <w:r>
        <w:rPr>
          <w:b/>
          <w:i/>
        </w:rPr>
        <w:t xml:space="preserve">. </w:t>
      </w:r>
      <w:r>
        <w:t xml:space="preserve">For planning purposes, the maximum elective deferral </w:t>
      </w:r>
      <w:r w:rsidR="00174764">
        <w:t>for</w:t>
      </w:r>
      <w:r>
        <w:t xml:space="preserve"> </w:t>
      </w:r>
      <w:r w:rsidR="006F3C4A">
        <w:t>health</w:t>
      </w:r>
      <w:r>
        <w:t xml:space="preserve"> FSAs in 202</w:t>
      </w:r>
      <w:r w:rsidR="00167262">
        <w:t>2</w:t>
      </w:r>
      <w:r>
        <w:t xml:space="preserve"> is </w:t>
      </w:r>
      <w:r w:rsidRPr="00246125">
        <w:t>$</w:t>
      </w:r>
      <w:r w:rsidRPr="00D5237C">
        <w:t>2,</w:t>
      </w:r>
      <w:r w:rsidR="00AF0D21">
        <w:t>8</w:t>
      </w:r>
      <w:r w:rsidRPr="00D5237C">
        <w:t>50</w:t>
      </w:r>
      <w:r w:rsidR="00D5237C">
        <w:t xml:space="preserve"> (up from $2</w:t>
      </w:r>
      <w:r w:rsidR="00AF0D21">
        <w:t>,</w:t>
      </w:r>
      <w:r w:rsidR="00D5237C">
        <w:t>750 in 2021)</w:t>
      </w:r>
      <w:r w:rsidR="00374987" w:rsidRPr="00D5237C">
        <w:t>.</w:t>
      </w:r>
      <w:r w:rsidR="00374987">
        <w:t xml:space="preserve"> </w:t>
      </w:r>
      <w:r w:rsidR="00AF0D21">
        <w:t xml:space="preserve">The maximum carryover permitted from unused 2022 </w:t>
      </w:r>
      <w:r w:rsidR="009A25C9">
        <w:t xml:space="preserve">health FSAs </w:t>
      </w:r>
      <w:r w:rsidR="00174764">
        <w:t xml:space="preserve">to 2023 </w:t>
      </w:r>
      <w:r w:rsidR="00AF0D21">
        <w:t xml:space="preserve">is capped at $570; the carryover applies only if the plan adopts it and does not use a grace period. </w:t>
      </w:r>
      <w:r w:rsidR="009A25C9" w:rsidRPr="009A25C9">
        <w:rPr>
          <w:rFonts w:ascii="Times" w:hAnsi="Times" w:cs="Times"/>
          <w:bCs/>
        </w:rPr>
        <w:t>Dependent care FSAs can allow a grace period but cannot have a carryover for unused 2022 amounts to 2023. For health FSAs or dependent care FSAs with a grace period, unused expenses from 2022 must be spent by March 15, 2023 (or within 2</w:t>
      </w:r>
      <w:r w:rsidR="009A25C9" w:rsidRPr="009A25C9">
        <w:rPr>
          <w:rFonts w:ascii="Times" w:hAnsi="Times" w:cs="Times"/>
          <w:bCs/>
          <w:sz w:val="18"/>
        </w:rPr>
        <w:t>1/2</w:t>
      </w:r>
      <w:r w:rsidR="009A25C9" w:rsidRPr="009A25C9">
        <w:rPr>
          <w:rFonts w:ascii="Times" w:hAnsi="Times" w:cs="Times"/>
          <w:bCs/>
        </w:rPr>
        <w:t xml:space="preserve"> months after the end of the 2022 plan year if a fiscal-year plan).  </w:t>
      </w:r>
    </w:p>
    <w:p w14:paraId="0D7DB219" w14:textId="77777777" w:rsidR="008809E3" w:rsidRDefault="008809E3" w:rsidP="0081042B">
      <w:pPr>
        <w:spacing w:after="0"/>
        <w:rPr>
          <w:b/>
          <w:i/>
        </w:rPr>
      </w:pPr>
    </w:p>
    <w:p w14:paraId="5CB04714" w14:textId="7E5ABB7B" w:rsidR="00A13061" w:rsidRPr="00374987" w:rsidRDefault="00A13061" w:rsidP="0081042B">
      <w:pPr>
        <w:spacing w:after="0"/>
        <w:rPr>
          <w:highlight w:val="yellow"/>
        </w:rPr>
      </w:pPr>
      <w:r>
        <w:rPr>
          <w:b/>
          <w:i/>
        </w:rPr>
        <w:t xml:space="preserve">Employee use of company car. </w:t>
      </w:r>
      <w:r>
        <w:t>For planning purposes, in valuing employee use of a company car in 202</w:t>
      </w:r>
      <w:r w:rsidR="00167262">
        <w:t>2</w:t>
      </w:r>
      <w:r w:rsidR="00EE4576">
        <w:t xml:space="preserve"> or for purposes of reimbursements under accountable plans</w:t>
      </w:r>
      <w:r>
        <w:t xml:space="preserve">, the IRS standard mileage rate is </w:t>
      </w:r>
      <w:r w:rsidR="00173065">
        <w:t>58.5</w:t>
      </w:r>
      <w:r w:rsidRPr="00B37BC9">
        <w:t xml:space="preserve">¢ per mile, </w:t>
      </w:r>
      <w:r w:rsidR="00173065">
        <w:t>up</w:t>
      </w:r>
      <w:r w:rsidRPr="00B37BC9">
        <w:t xml:space="preserve"> from </w:t>
      </w:r>
      <w:r w:rsidR="00167262">
        <w:t>56</w:t>
      </w:r>
      <w:r w:rsidRPr="00B37BC9">
        <w:t>¢ per mile in 20</w:t>
      </w:r>
      <w:r w:rsidR="00B37BC9">
        <w:t>2</w:t>
      </w:r>
      <w:r w:rsidR="00167262">
        <w:t>1</w:t>
      </w:r>
      <w:r w:rsidRPr="00B37BC9">
        <w:t>.</w:t>
      </w:r>
    </w:p>
    <w:p w14:paraId="71A3BD34" w14:textId="1A5A50BF" w:rsidR="00A13061" w:rsidRDefault="00A13061" w:rsidP="0081042B">
      <w:pPr>
        <w:spacing w:after="0"/>
        <w:ind w:firstLine="720"/>
      </w:pPr>
      <w:r w:rsidRPr="00B37BC9">
        <w:t>The fixed and variable rate allowance (FAVR) in 202</w:t>
      </w:r>
      <w:r w:rsidR="00167262">
        <w:t>2</w:t>
      </w:r>
      <w:r w:rsidRPr="00B37BC9">
        <w:t xml:space="preserve"> is limited to </w:t>
      </w:r>
      <w:r w:rsidR="00FF053A">
        <w:t xml:space="preserve">vehicles with a fair market value not exceeding </w:t>
      </w:r>
      <w:r w:rsidRPr="00B37BC9">
        <w:t>$</w:t>
      </w:r>
      <w:r w:rsidR="00173065">
        <w:t>56,100</w:t>
      </w:r>
      <w:r w:rsidRPr="00B37BC9">
        <w:t xml:space="preserve"> for cars, trucks, and vans. The </w:t>
      </w:r>
      <w:r w:rsidR="009A25C9">
        <w:t>limit</w:t>
      </w:r>
      <w:r w:rsidRPr="00B37BC9">
        <w:t xml:space="preserve"> in 20</w:t>
      </w:r>
      <w:r w:rsidR="00B37BC9" w:rsidRPr="00B37BC9">
        <w:t>2</w:t>
      </w:r>
      <w:r w:rsidR="00167262">
        <w:t>1</w:t>
      </w:r>
      <w:r w:rsidRPr="00B37BC9">
        <w:t xml:space="preserve"> was $</w:t>
      </w:r>
      <w:r w:rsidR="00167262">
        <w:t>51,100</w:t>
      </w:r>
      <w:r w:rsidRPr="00B37BC9">
        <w:t>.</w:t>
      </w:r>
    </w:p>
    <w:p w14:paraId="319E6628" w14:textId="65CDD032" w:rsidR="00A13061" w:rsidRDefault="00A13061" w:rsidP="0081042B">
      <w:pPr>
        <w:spacing w:after="0"/>
        <w:ind w:firstLine="720"/>
      </w:pPr>
      <w:r w:rsidRPr="00E41C9D">
        <w:t>Car</w:t>
      </w:r>
      <w:r>
        <w:t xml:space="preserve"> and truck </w:t>
      </w:r>
      <w:r w:rsidRPr="00E41C9D">
        <w:t xml:space="preserve">values </w:t>
      </w:r>
      <w:proofErr w:type="gramStart"/>
      <w:r w:rsidRPr="00E41C9D">
        <w:t>taken into account</w:t>
      </w:r>
      <w:proofErr w:type="gramEnd"/>
      <w:r w:rsidRPr="00E41C9D">
        <w:t xml:space="preserve"> by employers using the cents-per-mile valuation rule or the fleet valuation rule for valuing personal use of a company vehicle in 20</w:t>
      </w:r>
      <w:r>
        <w:t>2</w:t>
      </w:r>
      <w:r w:rsidR="00430D17">
        <w:t>2</w:t>
      </w:r>
      <w:r>
        <w:t xml:space="preserve"> </w:t>
      </w:r>
      <w:r w:rsidR="009A25C9">
        <w:t>are capped at</w:t>
      </w:r>
      <w:r>
        <w:t xml:space="preserve"> $</w:t>
      </w:r>
      <w:r w:rsidR="00173065">
        <w:t>56,100</w:t>
      </w:r>
      <w:r>
        <w:t xml:space="preserve">. </w:t>
      </w:r>
    </w:p>
    <w:p w14:paraId="15C5ED3B" w14:textId="77777777" w:rsidR="008809E3" w:rsidRDefault="008809E3" w:rsidP="0081042B">
      <w:pPr>
        <w:spacing w:after="0"/>
        <w:rPr>
          <w:b/>
          <w:i/>
        </w:rPr>
      </w:pPr>
    </w:p>
    <w:p w14:paraId="18AE82AB" w14:textId="08F9D5DD" w:rsidR="00723741" w:rsidRDefault="00A13061" w:rsidP="0081042B">
      <w:pPr>
        <w:spacing w:after="0"/>
      </w:pPr>
      <w:r>
        <w:rPr>
          <w:b/>
          <w:i/>
        </w:rPr>
        <w:t xml:space="preserve">Qualified transportation fringe benefits. </w:t>
      </w:r>
      <w:r>
        <w:t xml:space="preserve">Employers cannot deduct these fringe benefits, but if they choose to provide </w:t>
      </w:r>
      <w:r w:rsidR="00FF053A">
        <w:t>the benefits</w:t>
      </w:r>
      <w:r>
        <w:t xml:space="preserve"> or </w:t>
      </w:r>
      <w:r w:rsidR="00FF053A">
        <w:t>arrange for</w:t>
      </w:r>
      <w:r>
        <w:t xml:space="preserve"> employees to pay for these costs on a pre-tax basis, employees can exclude up to $</w:t>
      </w:r>
      <w:r w:rsidRPr="00AF0D21">
        <w:t>2</w:t>
      </w:r>
      <w:r w:rsidR="00AF0D21">
        <w:t>8</w:t>
      </w:r>
      <w:r w:rsidRPr="00AF0D21">
        <w:t>0</w:t>
      </w:r>
      <w:r>
        <w:t xml:space="preserve"> </w:t>
      </w:r>
      <w:r w:rsidR="00AF0D21">
        <w:t xml:space="preserve">per month </w:t>
      </w:r>
      <w:r>
        <w:t>for free parking, transit passes, and van pooling for 202</w:t>
      </w:r>
      <w:r w:rsidR="00430D17">
        <w:t>2</w:t>
      </w:r>
      <w:r>
        <w:t xml:space="preserve"> (</w:t>
      </w:r>
      <w:r w:rsidR="00AF0D21">
        <w:t>up</w:t>
      </w:r>
      <w:r w:rsidR="00272A5B">
        <w:t xml:space="preserve"> from </w:t>
      </w:r>
      <w:r w:rsidR="00AF0D21">
        <w:t xml:space="preserve">$270 per month in </w:t>
      </w:r>
      <w:r w:rsidR="00272A5B">
        <w:t>202</w:t>
      </w:r>
      <w:r w:rsidR="00430D17">
        <w:t>1</w:t>
      </w:r>
      <w:r>
        <w:t xml:space="preserve">).  </w:t>
      </w:r>
    </w:p>
    <w:p w14:paraId="3426220B" w14:textId="77777777" w:rsidR="008809E3" w:rsidRDefault="008809E3" w:rsidP="0081042B">
      <w:pPr>
        <w:spacing w:after="0"/>
        <w:rPr>
          <w:b/>
          <w:i/>
        </w:rPr>
      </w:pPr>
    </w:p>
    <w:p w14:paraId="3DB55BED" w14:textId="652AC074" w:rsidR="00A13061" w:rsidRDefault="00A13061" w:rsidP="0081042B">
      <w:pPr>
        <w:spacing w:after="0"/>
      </w:pPr>
      <w:r>
        <w:rPr>
          <w:b/>
          <w:i/>
        </w:rPr>
        <w:t xml:space="preserve">Frequent flyer miles. </w:t>
      </w:r>
      <w:r>
        <w:t>To date, the IRS has not taken any action to tax frequent flyer miles.</w:t>
      </w:r>
    </w:p>
    <w:p w14:paraId="0DAED469" w14:textId="77777777" w:rsidR="008809E3" w:rsidRDefault="008809E3" w:rsidP="0081042B">
      <w:pPr>
        <w:spacing w:after="0"/>
        <w:rPr>
          <w:b/>
          <w:i/>
        </w:rPr>
      </w:pPr>
    </w:p>
    <w:p w14:paraId="1DE1F1E3" w14:textId="48A37E40" w:rsidR="00981340" w:rsidRDefault="00A13061" w:rsidP="00430D17">
      <w:pPr>
        <w:spacing w:after="0"/>
        <w:rPr>
          <w:iCs/>
        </w:rPr>
      </w:pPr>
      <w:r w:rsidRPr="00B37BC9">
        <w:rPr>
          <w:b/>
          <w:i/>
        </w:rPr>
        <w:t xml:space="preserve">Employment-related tax credits. </w:t>
      </w:r>
      <w:r w:rsidR="00430D17">
        <w:rPr>
          <w:bCs/>
          <w:iCs/>
        </w:rPr>
        <w:t xml:space="preserve">Employment tax-related credits that expired in 2021 (employee retention credit, credits for COVID-19 related paid sick leave and paid family leave, and COBRA premium assistance credit) were not extended. </w:t>
      </w:r>
    </w:p>
    <w:p w14:paraId="58F3F914" w14:textId="0DA7460A" w:rsidR="00DA43A9" w:rsidRDefault="00DA43A9" w:rsidP="00DA43A9">
      <w:pPr>
        <w:spacing w:after="0"/>
        <w:rPr>
          <w:iCs/>
        </w:rPr>
      </w:pPr>
    </w:p>
    <w:p w14:paraId="4A95E3FD" w14:textId="77777777" w:rsidR="00E3764B" w:rsidRPr="00E3764B" w:rsidRDefault="00E3764B" w:rsidP="0081042B">
      <w:pPr>
        <w:spacing w:after="0"/>
        <w:rPr>
          <w:i/>
        </w:rPr>
      </w:pPr>
    </w:p>
    <w:p w14:paraId="436E9DF2" w14:textId="77777777" w:rsidR="00A13061" w:rsidRPr="00907549" w:rsidRDefault="00A13061" w:rsidP="0081042B">
      <w:pPr>
        <w:spacing w:after="0"/>
        <w:rPr>
          <w:rFonts w:ascii="Georgia" w:hAnsi="Georgia"/>
          <w:b/>
          <w:i/>
          <w:sz w:val="30"/>
        </w:rPr>
      </w:pPr>
      <w:r w:rsidRPr="00907549">
        <w:rPr>
          <w:rFonts w:ascii="Georgia" w:hAnsi="Georgia"/>
          <w:b/>
          <w:i/>
          <w:sz w:val="30"/>
        </w:rPr>
        <w:t>Chapter 8—Travel</w:t>
      </w:r>
      <w:r>
        <w:rPr>
          <w:rFonts w:ascii="Georgia" w:hAnsi="Georgia"/>
          <w:b/>
          <w:i/>
          <w:sz w:val="30"/>
        </w:rPr>
        <w:t>, Meals,</w:t>
      </w:r>
      <w:r w:rsidRPr="00907549">
        <w:rPr>
          <w:rFonts w:ascii="Georgia" w:hAnsi="Georgia"/>
          <w:b/>
          <w:i/>
          <w:sz w:val="30"/>
        </w:rPr>
        <w:t xml:space="preserve"> and </w:t>
      </w:r>
      <w:r>
        <w:rPr>
          <w:rFonts w:ascii="Georgia" w:hAnsi="Georgia"/>
          <w:b/>
          <w:i/>
          <w:sz w:val="30"/>
        </w:rPr>
        <w:t>Gift</w:t>
      </w:r>
      <w:r w:rsidRPr="00907549">
        <w:rPr>
          <w:rFonts w:ascii="Georgia" w:hAnsi="Georgia"/>
          <w:b/>
          <w:i/>
          <w:sz w:val="30"/>
        </w:rPr>
        <w:t xml:space="preserve"> Expenses</w:t>
      </w:r>
    </w:p>
    <w:p w14:paraId="27C46311" w14:textId="2BE755B4" w:rsidR="008809E3" w:rsidRDefault="00A13061" w:rsidP="009A25C9">
      <w:pPr>
        <w:spacing w:after="0"/>
        <w:rPr>
          <w:rFonts w:ascii="Times" w:hAnsi="Times" w:cs="Times"/>
          <w:bCs/>
        </w:rPr>
      </w:pPr>
      <w:r>
        <w:rPr>
          <w:b/>
          <w:bCs/>
          <w:i/>
          <w:iCs/>
        </w:rPr>
        <w:t xml:space="preserve">Business travel per diem rates. </w:t>
      </w:r>
      <w:r w:rsidRPr="00F04456">
        <w:t xml:space="preserve">The </w:t>
      </w:r>
      <w:r w:rsidR="00A73AB9">
        <w:t xml:space="preserve">standard </w:t>
      </w:r>
      <w:r w:rsidRPr="00F04456">
        <w:t>federal per diem rate for travel starting October 1, 20</w:t>
      </w:r>
      <w:r w:rsidR="00272A5B">
        <w:t>2</w:t>
      </w:r>
      <w:r w:rsidR="00B35DF8">
        <w:t>0</w:t>
      </w:r>
      <w:r w:rsidRPr="00F04456">
        <w:t>, through September 30, 20</w:t>
      </w:r>
      <w:r>
        <w:t>2</w:t>
      </w:r>
      <w:r w:rsidR="00272A5B">
        <w:t>1</w:t>
      </w:r>
      <w:r w:rsidRPr="00F04456">
        <w:t>, covering lodging and meals and incidental expenses (M&amp;IE) within the continental United States (CONUS) in most locations is $</w:t>
      </w:r>
      <w:r>
        <w:t>151</w:t>
      </w:r>
      <w:r w:rsidRPr="00F04456">
        <w:t xml:space="preserve"> per day ($</w:t>
      </w:r>
      <w:r>
        <w:t>96</w:t>
      </w:r>
      <w:r w:rsidRPr="00F04456">
        <w:t xml:space="preserve"> for lodging and $5</w:t>
      </w:r>
      <w:r>
        <w:t>5</w:t>
      </w:r>
      <w:r w:rsidRPr="00F04456">
        <w:t xml:space="preserve"> for M&amp;IE). These </w:t>
      </w:r>
      <w:r w:rsidR="00272A5B">
        <w:t xml:space="preserve">basic </w:t>
      </w:r>
      <w:r w:rsidRPr="00F04456">
        <w:t xml:space="preserve">rates are </w:t>
      </w:r>
      <w:r w:rsidR="00272A5B">
        <w:t>unchanged from the</w:t>
      </w:r>
      <w:r w:rsidRPr="00F04456">
        <w:t xml:space="preserve"> prior 12-month period</w:t>
      </w:r>
      <w:r w:rsidR="00A73AB9">
        <w:t xml:space="preserve">; 319 locations </w:t>
      </w:r>
      <w:r w:rsidR="00B42A65">
        <w:t>have</w:t>
      </w:r>
      <w:r w:rsidR="00A73AB9">
        <w:t xml:space="preserve"> a </w:t>
      </w:r>
      <w:r w:rsidRPr="00F04456">
        <w:t>per diem rate</w:t>
      </w:r>
      <w:r w:rsidR="00B42A65">
        <w:t xml:space="preserve"> exceeding the standard rate for all or part of the year</w:t>
      </w:r>
      <w:r w:rsidRPr="00F04456">
        <w:t xml:space="preserve">. </w:t>
      </w:r>
      <w:r w:rsidR="009A25C9" w:rsidRPr="009A25C9">
        <w:rPr>
          <w:rFonts w:ascii="Times" w:hAnsi="Times" w:cs="Times"/>
          <w:bCs/>
        </w:rPr>
        <w:t xml:space="preserve">For travel starting October 1, 2021, through September 30, 2022, the rate for most CONUS locations is $155 per day ($96 for lodging and $59 for M&amp;IE), but 319 locations have a per diem rate exceeding the standard rate for all or part of the year. These rates can be found </w:t>
      </w:r>
      <w:hyperlink r:id="rId11" w:history="1">
        <w:r w:rsidR="009A25C9" w:rsidRPr="009A25C9">
          <w:rPr>
            <w:rStyle w:val="Hyperlink"/>
            <w:rFonts w:ascii="Times" w:hAnsi="Times" w:cs="Times"/>
            <w:bCs/>
          </w:rPr>
          <w:t>here</w:t>
        </w:r>
      </w:hyperlink>
      <w:r w:rsidR="009A25C9">
        <w:rPr>
          <w:rFonts w:ascii="Times" w:hAnsi="Times" w:cs="Times"/>
          <w:bCs/>
        </w:rPr>
        <w:t>.</w:t>
      </w:r>
    </w:p>
    <w:p w14:paraId="64CFA637" w14:textId="0D28854B" w:rsidR="008A251A" w:rsidRDefault="008A251A" w:rsidP="009A25C9">
      <w:pPr>
        <w:spacing w:after="0"/>
        <w:rPr>
          <w:rFonts w:ascii="Times" w:hAnsi="Times" w:cs="Times"/>
          <w:bCs/>
        </w:rPr>
      </w:pPr>
    </w:p>
    <w:p w14:paraId="361B793D" w14:textId="77777777" w:rsidR="008A251A" w:rsidRDefault="008A251A" w:rsidP="008A251A">
      <w:r>
        <w:rPr>
          <w:rFonts w:ascii="Times" w:hAnsi="Times" w:cs="Times"/>
        </w:rPr>
        <w:t>The high-low substantiation rates for areas within CONUS for the period October 1, 2021, through September 30, 2022, are $296 for travel to high-cost localities and $202 for travel to all other areas within CONUS. Of these rates, the meal portion is $74 for high-cost areas and $64 for all other areas within CONUS. The list of high-cost areas has been changed (see Notice 2021-52 for details).</w:t>
      </w:r>
    </w:p>
    <w:p w14:paraId="6622C15D" w14:textId="77777777" w:rsidR="009A25C9" w:rsidRDefault="009A25C9" w:rsidP="0081042B">
      <w:pPr>
        <w:spacing w:after="0"/>
        <w:rPr>
          <w:b/>
          <w:bCs/>
          <w:i/>
          <w:iCs/>
        </w:rPr>
      </w:pPr>
    </w:p>
    <w:p w14:paraId="34BDCC73" w14:textId="362DD113" w:rsidR="00252AA9" w:rsidRPr="002F05C9" w:rsidRDefault="00252AA9" w:rsidP="0081042B">
      <w:pPr>
        <w:spacing w:after="0"/>
      </w:pPr>
      <w:r>
        <w:rPr>
          <w:b/>
          <w:bCs/>
          <w:i/>
          <w:iCs/>
        </w:rPr>
        <w:t xml:space="preserve">Meals. </w:t>
      </w:r>
      <w:r w:rsidR="00AF0D21">
        <w:t xml:space="preserve">Using a </w:t>
      </w:r>
      <w:proofErr w:type="gramStart"/>
      <w:r w:rsidR="00AF0D21">
        <w:t>federally-set</w:t>
      </w:r>
      <w:proofErr w:type="gramEnd"/>
      <w:r w:rsidR="00AF0D21">
        <w:t xml:space="preserve"> per diem rate to substantiate the cost of business meals is 100% </w:t>
      </w:r>
      <w:r w:rsidR="00540EE6">
        <w:t xml:space="preserve">deductible </w:t>
      </w:r>
      <w:r w:rsidR="00AF0D21">
        <w:t>if the meals are provided at restaurants</w:t>
      </w:r>
      <w:r w:rsidR="008A251A">
        <w:t xml:space="preserve"> in 2021 and 2022</w:t>
      </w:r>
      <w:r w:rsidR="002F05C9">
        <w:t>.</w:t>
      </w:r>
    </w:p>
    <w:p w14:paraId="6036D6DF" w14:textId="77777777" w:rsidR="00A13061" w:rsidRPr="00F04456" w:rsidRDefault="00A13061" w:rsidP="0081042B">
      <w:pPr>
        <w:spacing w:after="0"/>
      </w:pPr>
    </w:p>
    <w:p w14:paraId="32DE0148" w14:textId="77777777" w:rsidR="00A13061" w:rsidRPr="007B52DD" w:rsidRDefault="00A13061" w:rsidP="0081042B">
      <w:pPr>
        <w:spacing w:after="0"/>
        <w:rPr>
          <w:rFonts w:ascii="Georgia" w:hAnsi="Georgia"/>
          <w:b/>
          <w:bCs/>
          <w:i/>
          <w:sz w:val="30"/>
          <w:szCs w:val="30"/>
        </w:rPr>
      </w:pPr>
      <w:r w:rsidRPr="007B52DD">
        <w:rPr>
          <w:rFonts w:ascii="Georgia" w:hAnsi="Georgia"/>
          <w:b/>
          <w:i/>
          <w:sz w:val="30"/>
          <w:szCs w:val="30"/>
        </w:rPr>
        <w:t>Chapter 9—Car Expenses</w:t>
      </w:r>
    </w:p>
    <w:p w14:paraId="09E3F097" w14:textId="4AB990FC" w:rsidR="00A13061" w:rsidRDefault="00A13061" w:rsidP="0081042B">
      <w:pPr>
        <w:spacing w:after="0"/>
      </w:pPr>
      <w:r>
        <w:rPr>
          <w:b/>
          <w:i/>
          <w:color w:val="000000"/>
        </w:rPr>
        <w:t xml:space="preserve">Section 179 deduction and bonus depreciation. </w:t>
      </w:r>
      <w:r>
        <w:t>For 202</w:t>
      </w:r>
      <w:r w:rsidR="009B2CC7">
        <w:t>2</w:t>
      </w:r>
      <w:r>
        <w:t>, the first-year expense allowance (Section 179 deduction) applies to equipment purchases (e.g., new vehicles) up to $1,0</w:t>
      </w:r>
      <w:r w:rsidR="009B2CC7">
        <w:t>8</w:t>
      </w:r>
      <w:r>
        <w:t xml:space="preserve">0,000. However, this dollar limit phases out dollar for dollar when purchases </w:t>
      </w:r>
      <w:r w:rsidR="008A251A">
        <w:t xml:space="preserve">of Section 179 property </w:t>
      </w:r>
      <w:r>
        <w:t>for the year exceed $2,</w:t>
      </w:r>
      <w:r w:rsidR="009B2CC7">
        <w:t>700</w:t>
      </w:r>
      <w:r>
        <w:t>,000. Thus, no expensing deduction can be claimed if equipment purchases for the year are $3,</w:t>
      </w:r>
      <w:r w:rsidR="009B2CC7">
        <w:t>78</w:t>
      </w:r>
      <w:r>
        <w:t xml:space="preserve">0,000 million or more. </w:t>
      </w:r>
    </w:p>
    <w:p w14:paraId="089184A2" w14:textId="53A4A2CF" w:rsidR="00A13061" w:rsidRDefault="00A13061" w:rsidP="0081042B">
      <w:pPr>
        <w:spacing w:after="0"/>
        <w:ind w:firstLine="720"/>
        <w:rPr>
          <w:color w:val="000000"/>
        </w:rPr>
      </w:pPr>
      <w:r>
        <w:rPr>
          <w:color w:val="000000"/>
        </w:rPr>
        <w:t xml:space="preserve">Heavy SUVs are not subject to the </w:t>
      </w:r>
      <w:r w:rsidR="008A251A">
        <w:rPr>
          <w:color w:val="000000"/>
        </w:rPr>
        <w:t xml:space="preserve">annual </w:t>
      </w:r>
      <w:r>
        <w:rPr>
          <w:color w:val="000000"/>
        </w:rPr>
        <w:t>dollar limits</w:t>
      </w:r>
      <w:r w:rsidR="008A251A">
        <w:rPr>
          <w:color w:val="000000"/>
        </w:rPr>
        <w:t xml:space="preserve"> on depreciation</w:t>
      </w:r>
      <w:r>
        <w:rPr>
          <w:color w:val="000000"/>
        </w:rPr>
        <w:t>, but the first-year expense deduction is limited to $</w:t>
      </w:r>
      <w:r w:rsidR="009B2CC7">
        <w:rPr>
          <w:color w:val="000000"/>
        </w:rPr>
        <w:t>27,000</w:t>
      </w:r>
      <w:r>
        <w:rPr>
          <w:color w:val="000000"/>
        </w:rPr>
        <w:t xml:space="preserve"> in 20</w:t>
      </w:r>
      <w:r w:rsidR="009B2CC7">
        <w:rPr>
          <w:color w:val="000000"/>
        </w:rPr>
        <w:t>22</w:t>
      </w:r>
      <w:r>
        <w:rPr>
          <w:color w:val="000000"/>
        </w:rPr>
        <w:t xml:space="preserve"> (</w:t>
      </w:r>
      <w:r w:rsidR="009B2CC7">
        <w:rPr>
          <w:color w:val="000000"/>
        </w:rPr>
        <w:t xml:space="preserve">up from $26,200 in </w:t>
      </w:r>
      <w:r>
        <w:rPr>
          <w:color w:val="000000"/>
        </w:rPr>
        <w:t>20</w:t>
      </w:r>
      <w:r w:rsidR="00A73AB9">
        <w:rPr>
          <w:color w:val="000000"/>
        </w:rPr>
        <w:t>2</w:t>
      </w:r>
      <w:r w:rsidR="009B2CC7">
        <w:rPr>
          <w:color w:val="000000"/>
        </w:rPr>
        <w:t>1</w:t>
      </w:r>
      <w:r>
        <w:rPr>
          <w:color w:val="000000"/>
        </w:rPr>
        <w:t>).</w:t>
      </w:r>
    </w:p>
    <w:p w14:paraId="4AD8E239" w14:textId="77777777" w:rsidR="008809E3" w:rsidRDefault="008809E3" w:rsidP="0081042B">
      <w:pPr>
        <w:spacing w:after="0"/>
        <w:rPr>
          <w:b/>
          <w:i/>
        </w:rPr>
      </w:pPr>
    </w:p>
    <w:p w14:paraId="519A0208" w14:textId="3F7075B5" w:rsidR="00A13061" w:rsidRPr="002F05C9" w:rsidRDefault="00A13061" w:rsidP="0081042B">
      <w:pPr>
        <w:spacing w:after="0"/>
      </w:pPr>
      <w:r w:rsidRPr="002F05C9">
        <w:rPr>
          <w:b/>
          <w:i/>
        </w:rPr>
        <w:t xml:space="preserve">Standard mileage rate. </w:t>
      </w:r>
      <w:r w:rsidRPr="002F05C9">
        <w:t xml:space="preserve">The IRS announced the standard mileage rate, used in lieu of deducting the actual costs of business driving; </w:t>
      </w:r>
      <w:r w:rsidRPr="00173065">
        <w:t xml:space="preserve">for </w:t>
      </w:r>
      <w:r w:rsidR="00173065" w:rsidRPr="00173065">
        <w:t>2022</w:t>
      </w:r>
      <w:r w:rsidRPr="00173065">
        <w:t xml:space="preserve"> it is </w:t>
      </w:r>
      <w:r w:rsidR="00173065" w:rsidRPr="00173065">
        <w:t>58.5</w:t>
      </w:r>
      <w:r w:rsidRPr="00173065">
        <w:t>¢</w:t>
      </w:r>
      <w:r w:rsidRPr="002F05C9">
        <w:t xml:space="preserve"> per mile (</w:t>
      </w:r>
      <w:r w:rsidR="00173065">
        <w:t>up</w:t>
      </w:r>
      <w:r w:rsidRPr="002F05C9">
        <w:t xml:space="preserve"> from </w:t>
      </w:r>
      <w:r w:rsidR="00173065">
        <w:t>56</w:t>
      </w:r>
      <w:r w:rsidRPr="002F05C9">
        <w:t>¢ per mile in 20</w:t>
      </w:r>
      <w:r w:rsidR="002F05C9">
        <w:t>20</w:t>
      </w:r>
      <w:r w:rsidRPr="002F05C9">
        <w:t>).</w:t>
      </w:r>
    </w:p>
    <w:p w14:paraId="1C4CDC2D" w14:textId="4541B9F6" w:rsidR="00A13061" w:rsidRPr="002F05C9" w:rsidRDefault="00A13061" w:rsidP="0081042B">
      <w:pPr>
        <w:spacing w:after="0"/>
        <w:ind w:firstLine="720"/>
      </w:pPr>
      <w:r w:rsidRPr="002F05C9">
        <w:t>Those who own their vehicles and use the standard mileage rate for 202</w:t>
      </w:r>
      <w:r w:rsidR="00540EE6">
        <w:t>2</w:t>
      </w:r>
      <w:r w:rsidRPr="002F05C9">
        <w:t xml:space="preserve"> must reduce the vehicle’s basis by </w:t>
      </w:r>
      <w:r w:rsidR="002F05C9">
        <w:t>2</w:t>
      </w:r>
      <w:r w:rsidR="0037596B">
        <w:t>6</w:t>
      </w:r>
      <w:r w:rsidRPr="002F05C9">
        <w:t>¢ per mile (</w:t>
      </w:r>
      <w:r w:rsidR="0037596B">
        <w:t>the same as in</w:t>
      </w:r>
      <w:r w:rsidRPr="002F05C9">
        <w:t xml:space="preserve"> 20</w:t>
      </w:r>
      <w:r w:rsidR="002F05C9">
        <w:t>2</w:t>
      </w:r>
      <w:r w:rsidR="00540EE6">
        <w:t>1</w:t>
      </w:r>
      <w:r w:rsidRPr="002F05C9">
        <w:t>).</w:t>
      </w:r>
    </w:p>
    <w:p w14:paraId="1E250694" w14:textId="77777777" w:rsidR="008809E3" w:rsidRDefault="008809E3" w:rsidP="0081042B">
      <w:pPr>
        <w:spacing w:after="0"/>
        <w:rPr>
          <w:b/>
          <w:bCs/>
          <w:i/>
          <w:iCs/>
        </w:rPr>
      </w:pPr>
    </w:p>
    <w:p w14:paraId="01798CCA" w14:textId="77777777" w:rsidR="007E3DC4" w:rsidRDefault="00A13061" w:rsidP="007E3DC4">
      <w:pPr>
        <w:spacing w:after="0"/>
      </w:pPr>
      <w:r w:rsidRPr="002F05C9">
        <w:rPr>
          <w:b/>
          <w:bCs/>
          <w:i/>
          <w:iCs/>
        </w:rPr>
        <w:t xml:space="preserve">2-wheel vehicles. </w:t>
      </w:r>
      <w:r w:rsidRPr="002F05C9">
        <w:t>The credit for a 2-wheel plug-in electric vehicle, which expired at the end of 20</w:t>
      </w:r>
      <w:r w:rsidR="002F05C9">
        <w:t>2</w:t>
      </w:r>
      <w:r w:rsidR="009B2CC7">
        <w:t>1</w:t>
      </w:r>
      <w:r w:rsidRPr="002F05C9">
        <w:t xml:space="preserve">, has </w:t>
      </w:r>
      <w:r w:rsidR="007E3DC4">
        <w:t xml:space="preserve">not yet </w:t>
      </w:r>
      <w:r w:rsidRPr="002F05C9">
        <w:t>been extended</w:t>
      </w:r>
      <w:r w:rsidR="007E3DC4">
        <w:t xml:space="preserve">. </w:t>
      </w:r>
    </w:p>
    <w:p w14:paraId="225664C7" w14:textId="733CE066" w:rsidR="008809E3" w:rsidRDefault="00A13061" w:rsidP="007E3DC4">
      <w:pPr>
        <w:spacing w:after="0"/>
      </w:pPr>
      <w:r w:rsidRPr="002F05C9">
        <w:t xml:space="preserve"> </w:t>
      </w:r>
    </w:p>
    <w:p w14:paraId="7302E891" w14:textId="0D7A27D2" w:rsidR="00A13061" w:rsidRPr="00395F3F" w:rsidRDefault="00A13061" w:rsidP="0081042B">
      <w:pPr>
        <w:pStyle w:val="Heading2"/>
        <w:spacing w:before="0" w:after="0"/>
      </w:pPr>
      <w:r w:rsidRPr="00395F3F">
        <w:t>Chapter 10—Repairs, Maintenance, and Energy Improvements</w:t>
      </w:r>
    </w:p>
    <w:p w14:paraId="260A0551" w14:textId="2ECCE5E1" w:rsidR="00A13061" w:rsidRDefault="009B2CC7" w:rsidP="0081042B">
      <w:pPr>
        <w:spacing w:after="0"/>
        <w:rPr>
          <w:bCs/>
        </w:rPr>
      </w:pPr>
      <w:r>
        <w:rPr>
          <w:b/>
          <w:i/>
          <w:iCs/>
        </w:rPr>
        <w:t xml:space="preserve">Energy-efficient commercial buildings. </w:t>
      </w:r>
      <w:r w:rsidR="00A13061" w:rsidRPr="002F05C9">
        <w:rPr>
          <w:bCs/>
        </w:rPr>
        <w:t xml:space="preserve">The </w:t>
      </w:r>
      <w:r w:rsidR="008A251A">
        <w:rPr>
          <w:bCs/>
        </w:rPr>
        <w:t xml:space="preserve">maximum </w:t>
      </w:r>
      <w:r w:rsidR="002F05C9">
        <w:rPr>
          <w:bCs/>
        </w:rPr>
        <w:t xml:space="preserve">deduction for energy-efficient commercial buildings at </w:t>
      </w:r>
      <w:r w:rsidR="00A13061" w:rsidRPr="002F05C9">
        <w:rPr>
          <w:bCs/>
        </w:rPr>
        <w:t>$1.8</w:t>
      </w:r>
      <w:r>
        <w:rPr>
          <w:bCs/>
        </w:rPr>
        <w:t>8</w:t>
      </w:r>
      <w:r w:rsidR="00A13061" w:rsidRPr="002F05C9">
        <w:rPr>
          <w:bCs/>
        </w:rPr>
        <w:t xml:space="preserve"> per square foot </w:t>
      </w:r>
      <w:r>
        <w:rPr>
          <w:bCs/>
        </w:rPr>
        <w:t>in 2022 (up from $1.8</w:t>
      </w:r>
      <w:r w:rsidR="008A251A">
        <w:rPr>
          <w:bCs/>
        </w:rPr>
        <w:t>2</w:t>
      </w:r>
      <w:r>
        <w:rPr>
          <w:bCs/>
        </w:rPr>
        <w:t xml:space="preserve"> in 2021)</w:t>
      </w:r>
      <w:r w:rsidR="00A13061" w:rsidRPr="002F05C9">
        <w:rPr>
          <w:bCs/>
        </w:rPr>
        <w:t xml:space="preserve"> for </w:t>
      </w:r>
      <w:r w:rsidR="00A13061" w:rsidRPr="002F05C9">
        <w:rPr>
          <w:bCs/>
        </w:rPr>
        <w:lastRenderedPageBreak/>
        <w:t>commercial buildings that achieve at 50% energy-saving target</w:t>
      </w:r>
      <w:r w:rsidR="00924F6A">
        <w:rPr>
          <w:bCs/>
        </w:rPr>
        <w:t>.</w:t>
      </w:r>
      <w:r>
        <w:rPr>
          <w:bCs/>
        </w:rPr>
        <w:t xml:space="preserve"> Those qualifying for a partial allowance may deduct $0.63 per square foot (up from $0.6</w:t>
      </w:r>
      <w:r w:rsidR="008A251A">
        <w:rPr>
          <w:bCs/>
        </w:rPr>
        <w:t>1</w:t>
      </w:r>
      <w:r>
        <w:rPr>
          <w:bCs/>
        </w:rPr>
        <w:t xml:space="preserve"> in 2021)</w:t>
      </w:r>
      <w:r w:rsidR="0099492F">
        <w:rPr>
          <w:bCs/>
        </w:rPr>
        <w:t xml:space="preserve">. </w:t>
      </w:r>
    </w:p>
    <w:p w14:paraId="059BAAFB" w14:textId="3FFB022D" w:rsidR="0099492F" w:rsidRDefault="0099492F" w:rsidP="0081042B">
      <w:pPr>
        <w:spacing w:after="0"/>
        <w:rPr>
          <w:bCs/>
        </w:rPr>
      </w:pPr>
    </w:p>
    <w:p w14:paraId="1B8F4B85" w14:textId="742B89A8" w:rsidR="0099492F" w:rsidRDefault="0099492F" w:rsidP="0081042B">
      <w:pPr>
        <w:spacing w:after="0"/>
        <w:rPr>
          <w:bCs/>
        </w:rPr>
      </w:pPr>
      <w:r>
        <w:rPr>
          <w:b/>
          <w:i/>
          <w:iCs/>
        </w:rPr>
        <w:t xml:space="preserve">Correction to page 221: </w:t>
      </w:r>
      <w:r>
        <w:rPr>
          <w:bCs/>
        </w:rPr>
        <w:t xml:space="preserve">The amounts listed in the book of $1.80 </w:t>
      </w:r>
      <w:r w:rsidRPr="002F05C9">
        <w:rPr>
          <w:bCs/>
        </w:rPr>
        <w:t xml:space="preserve">per square foot </w:t>
      </w:r>
      <w:r>
        <w:rPr>
          <w:bCs/>
        </w:rPr>
        <w:t xml:space="preserve">and $0.60 </w:t>
      </w:r>
      <w:r w:rsidRPr="002F05C9">
        <w:rPr>
          <w:bCs/>
        </w:rPr>
        <w:t xml:space="preserve">per square foot </w:t>
      </w:r>
      <w:r>
        <w:rPr>
          <w:bCs/>
        </w:rPr>
        <w:t>respectively for 2021 should have been $1.82 and $0.61</w:t>
      </w:r>
      <w:r w:rsidR="00835AC9">
        <w:rPr>
          <w:bCs/>
        </w:rPr>
        <w:t xml:space="preserve"> respectively</w:t>
      </w:r>
      <w:r>
        <w:rPr>
          <w:bCs/>
        </w:rPr>
        <w:t>.</w:t>
      </w:r>
    </w:p>
    <w:p w14:paraId="3AFD7723" w14:textId="77777777" w:rsidR="00835AC9" w:rsidRPr="0099492F" w:rsidRDefault="00835AC9" w:rsidP="0081042B">
      <w:pPr>
        <w:spacing w:after="0"/>
        <w:rPr>
          <w:bCs/>
        </w:rPr>
      </w:pPr>
    </w:p>
    <w:p w14:paraId="6D2F1ACF" w14:textId="7C584685" w:rsidR="00924F6A" w:rsidRPr="002F05C9" w:rsidRDefault="00924F6A" w:rsidP="0081042B">
      <w:pPr>
        <w:spacing w:after="0"/>
        <w:ind w:firstLine="720"/>
        <w:rPr>
          <w:bCs/>
        </w:rPr>
      </w:pPr>
      <w:r w:rsidRPr="007E3DC4">
        <w:rPr>
          <w:bCs/>
        </w:rPr>
        <w:t xml:space="preserve">The alternative fuel vehicle refueling property credit, which expired at the end of 2020, has </w:t>
      </w:r>
      <w:r w:rsidR="007E3DC4">
        <w:rPr>
          <w:bCs/>
        </w:rPr>
        <w:t>not yet</w:t>
      </w:r>
      <w:r w:rsidR="00C24036" w:rsidRPr="007E3DC4">
        <w:rPr>
          <w:bCs/>
        </w:rPr>
        <w:t xml:space="preserve"> </w:t>
      </w:r>
      <w:r w:rsidRPr="007E3DC4">
        <w:rPr>
          <w:bCs/>
        </w:rPr>
        <w:t>been extended.</w:t>
      </w:r>
    </w:p>
    <w:p w14:paraId="2758BA52" w14:textId="77777777" w:rsidR="008809E3" w:rsidRDefault="008809E3" w:rsidP="0081042B">
      <w:pPr>
        <w:pStyle w:val="Heading2"/>
        <w:spacing w:before="0" w:after="0"/>
      </w:pPr>
    </w:p>
    <w:p w14:paraId="362D3C7D" w14:textId="2EED17F7" w:rsidR="00A13061" w:rsidRDefault="00A13061" w:rsidP="0081042B">
      <w:pPr>
        <w:pStyle w:val="Heading2"/>
        <w:spacing w:before="0" w:after="0"/>
      </w:pPr>
      <w:r>
        <w:t>Chapter 13—Taxes and Interest</w:t>
      </w:r>
    </w:p>
    <w:p w14:paraId="28FD33BB" w14:textId="3C781F63" w:rsidR="00D94417" w:rsidRDefault="00D94417" w:rsidP="0081042B">
      <w:pPr>
        <w:spacing w:after="0"/>
        <w:rPr>
          <w:b/>
          <w:i/>
        </w:rPr>
      </w:pPr>
      <w:r>
        <w:rPr>
          <w:b/>
          <w:i/>
        </w:rPr>
        <w:t xml:space="preserve">State and local income taxes. </w:t>
      </w:r>
      <w:r>
        <w:t xml:space="preserve">The IRS said that state and local income taxes imposed on and paid by a partnership or S corporation </w:t>
      </w:r>
      <w:r w:rsidR="002C1490">
        <w:t>are</w:t>
      </w:r>
      <w:r>
        <w:t xml:space="preserve"> not subject to the SALT cap and allowed in computing non-separately stated income or loss for the entity (and passed through to the owner).</w:t>
      </w:r>
      <w:r w:rsidR="002C1490">
        <w:t xml:space="preserve"> </w:t>
      </w:r>
      <w:r w:rsidR="007E3DC4">
        <w:t xml:space="preserve">Now, nearly 20 states have these workarounds, although some do not become effective until 2022 or later. </w:t>
      </w:r>
      <w:r w:rsidR="00DE0115">
        <w:t>Similar measures are pending in yet other states. Watch for possible changes on the federal level if the Build Back Better Act or some version of it is enacted in 2022 and whether the change would apply for 2021 returns.</w:t>
      </w:r>
    </w:p>
    <w:p w14:paraId="2F224A32" w14:textId="77777777" w:rsidR="00D94417" w:rsidRDefault="00D94417" w:rsidP="0081042B">
      <w:pPr>
        <w:spacing w:after="0"/>
        <w:rPr>
          <w:b/>
          <w:i/>
        </w:rPr>
      </w:pPr>
    </w:p>
    <w:p w14:paraId="00765377" w14:textId="43E47C43" w:rsidR="00A13061" w:rsidRDefault="00A13061" w:rsidP="0081042B">
      <w:pPr>
        <w:spacing w:after="0"/>
      </w:pPr>
      <w:r>
        <w:rPr>
          <w:b/>
          <w:i/>
        </w:rPr>
        <w:t xml:space="preserve">Self-employment tax. </w:t>
      </w:r>
      <w:r>
        <w:t>The Social Security wage base limit, which applies for self-employment taxes, is $</w:t>
      </w:r>
      <w:r w:rsidR="002C1490">
        <w:t>147,000</w:t>
      </w:r>
      <w:r>
        <w:t xml:space="preserve"> in 202</w:t>
      </w:r>
      <w:r w:rsidR="0099492F">
        <w:t>2</w:t>
      </w:r>
      <w:r>
        <w:t xml:space="preserve"> (up from $</w:t>
      </w:r>
      <w:r w:rsidR="002C1490">
        <w:t>142,800</w:t>
      </w:r>
      <w:r>
        <w:t xml:space="preserve"> in 20</w:t>
      </w:r>
      <w:r w:rsidR="004D7B80">
        <w:t>2</w:t>
      </w:r>
      <w:r w:rsidR="002C1490">
        <w:t>1</w:t>
      </w:r>
      <w:r>
        <w:t>). The tax rate for the Social Security portion of self-employment tax is 12.4% on net earnings up to this dollar limit. The tax rate for the Medicare portion of self-employment tax is 2.9% on all net earnings. The tax deduction is limited to one-half of the self-employment tax.</w:t>
      </w:r>
      <w:r w:rsidR="004D7B80">
        <w:t xml:space="preserve"> </w:t>
      </w:r>
    </w:p>
    <w:p w14:paraId="566CBDB7" w14:textId="77777777" w:rsidR="00A13061" w:rsidRPr="00F60CED" w:rsidRDefault="00A13061" w:rsidP="0081042B">
      <w:pPr>
        <w:spacing w:after="0"/>
        <w:ind w:firstLine="720"/>
      </w:pPr>
      <w:r>
        <w:t xml:space="preserve">For those with net earnings over the applicable threshold amount of $200,000 for singles and $250,000 for joint filers (these dollar limits are not adjusted annually for inflation), there is also a Medicare surtax of 0.9% on excess earnings. This applies only to the so-called employee portion, so it is </w:t>
      </w:r>
      <w:r>
        <w:rPr>
          <w:i/>
        </w:rPr>
        <w:t xml:space="preserve">not </w:t>
      </w:r>
      <w:r>
        <w:t>deductible.</w:t>
      </w:r>
    </w:p>
    <w:p w14:paraId="118C91E3" w14:textId="77777777" w:rsidR="008809E3" w:rsidRDefault="008809E3" w:rsidP="0081042B">
      <w:pPr>
        <w:spacing w:after="0"/>
        <w:rPr>
          <w:b/>
          <w:i/>
        </w:rPr>
      </w:pPr>
    </w:p>
    <w:p w14:paraId="4C995831" w14:textId="5BAB38A9" w:rsidR="00A01DC3" w:rsidRDefault="00A13061" w:rsidP="0081042B">
      <w:pPr>
        <w:spacing w:after="0"/>
      </w:pPr>
      <w:r>
        <w:rPr>
          <w:b/>
          <w:i/>
        </w:rPr>
        <w:t xml:space="preserve">Employment taxes—FICA. </w:t>
      </w:r>
      <w:r>
        <w:t>The wage base limit for the Social Security portion of FICA in 202</w:t>
      </w:r>
      <w:r w:rsidR="002C1490">
        <w:t>2</w:t>
      </w:r>
      <w:r>
        <w:t xml:space="preserve"> is $</w:t>
      </w:r>
      <w:r w:rsidR="002C1490">
        <w:t>147,000</w:t>
      </w:r>
      <w:r>
        <w:t xml:space="preserve"> (up from $</w:t>
      </w:r>
      <w:r w:rsidR="002C1490">
        <w:t>142,800</w:t>
      </w:r>
      <w:r>
        <w:t xml:space="preserve"> in 20</w:t>
      </w:r>
      <w:r w:rsidR="003E60A5">
        <w:t>2</w:t>
      </w:r>
      <w:r w:rsidR="002C1490">
        <w:t>1</w:t>
      </w:r>
      <w:r>
        <w:t>). The rate for the employee’s Social Security portion of FICA is unchanged at 6.2%.</w:t>
      </w:r>
    </w:p>
    <w:p w14:paraId="294AF161" w14:textId="77777777" w:rsidR="008809E3" w:rsidRDefault="008809E3" w:rsidP="0081042B">
      <w:pPr>
        <w:spacing w:after="0"/>
        <w:rPr>
          <w:b/>
          <w:i/>
        </w:rPr>
      </w:pPr>
    </w:p>
    <w:p w14:paraId="1D5D8802" w14:textId="485924A2" w:rsidR="00A13061" w:rsidRDefault="00A13061" w:rsidP="0081042B">
      <w:pPr>
        <w:spacing w:after="0"/>
      </w:pPr>
      <w:r>
        <w:rPr>
          <w:b/>
          <w:i/>
        </w:rPr>
        <w:t xml:space="preserve">Employment taxes—FUTA tax. </w:t>
      </w:r>
      <w:r>
        <w:t>For</w:t>
      </w:r>
      <w:r w:rsidRPr="00524B9C">
        <w:t xml:space="preserve"> </w:t>
      </w:r>
      <w:r>
        <w:t xml:space="preserve">purposes of </w:t>
      </w:r>
      <w:r w:rsidRPr="00524B9C">
        <w:t xml:space="preserve">FUTA </w:t>
      </w:r>
      <w:r>
        <w:t>in 20</w:t>
      </w:r>
      <w:r w:rsidR="00836528">
        <w:t>2</w:t>
      </w:r>
      <w:r w:rsidR="002C1490">
        <w:t>1</w:t>
      </w:r>
      <w:r>
        <w:t>, there are no “</w:t>
      </w:r>
      <w:r w:rsidRPr="00524B9C">
        <w:t>credit reduction states</w:t>
      </w:r>
      <w:r>
        <w:t xml:space="preserve">.” </w:t>
      </w:r>
    </w:p>
    <w:p w14:paraId="0EAAB84B" w14:textId="77777777" w:rsidR="008809E3" w:rsidRDefault="008809E3" w:rsidP="0081042B">
      <w:pPr>
        <w:spacing w:after="0"/>
        <w:rPr>
          <w:b/>
          <w:i/>
        </w:rPr>
      </w:pPr>
    </w:p>
    <w:p w14:paraId="69A876C1" w14:textId="30DFD8B3" w:rsidR="00836528" w:rsidRDefault="00A13061" w:rsidP="0081042B">
      <w:pPr>
        <w:spacing w:after="0"/>
      </w:pPr>
      <w:r>
        <w:rPr>
          <w:b/>
          <w:i/>
        </w:rPr>
        <w:t xml:space="preserve">Interest </w:t>
      </w:r>
      <w:r w:rsidR="00C24036">
        <w:rPr>
          <w:b/>
          <w:i/>
        </w:rPr>
        <w:t xml:space="preserve">expense </w:t>
      </w:r>
      <w:r>
        <w:rPr>
          <w:b/>
          <w:i/>
        </w:rPr>
        <w:t xml:space="preserve">payments. </w:t>
      </w:r>
      <w:r w:rsidR="003E60A5">
        <w:rPr>
          <w:bCs/>
          <w:iCs/>
        </w:rPr>
        <w:t>For 202</w:t>
      </w:r>
      <w:r w:rsidR="00F27566">
        <w:rPr>
          <w:bCs/>
          <w:iCs/>
        </w:rPr>
        <w:t>2</w:t>
      </w:r>
      <w:r w:rsidR="003E60A5">
        <w:rPr>
          <w:bCs/>
          <w:iCs/>
        </w:rPr>
        <w:t xml:space="preserve">, </w:t>
      </w:r>
      <w:r w:rsidR="00F27566">
        <w:rPr>
          <w:bCs/>
          <w:iCs/>
        </w:rPr>
        <w:t xml:space="preserve">“small businesses” are automatically exempt from the </w:t>
      </w:r>
      <w:r w:rsidR="00C24036">
        <w:rPr>
          <w:bCs/>
          <w:iCs/>
        </w:rPr>
        <w:t>net interest expense limit</w:t>
      </w:r>
      <w:r w:rsidR="00F27566">
        <w:rPr>
          <w:bCs/>
          <w:iCs/>
        </w:rPr>
        <w:t>.</w:t>
      </w:r>
      <w:r w:rsidR="00C24036">
        <w:rPr>
          <w:bCs/>
          <w:iCs/>
        </w:rPr>
        <w:t xml:space="preserve"> </w:t>
      </w:r>
      <w:r w:rsidR="00F27566">
        <w:rPr>
          <w:bCs/>
          <w:iCs/>
        </w:rPr>
        <w:t xml:space="preserve">These are businesses </w:t>
      </w:r>
      <w:r>
        <w:t>with average annual gross receipts for the 3 prior years not exceeding $</w:t>
      </w:r>
      <w:r w:rsidRPr="000135A7">
        <w:t>2</w:t>
      </w:r>
      <w:r w:rsidR="00F27566">
        <w:t>7</w:t>
      </w:r>
      <w:r>
        <w:t xml:space="preserve"> million (</w:t>
      </w:r>
      <w:r w:rsidR="00F27566">
        <w:t>up</w:t>
      </w:r>
      <w:r>
        <w:t xml:space="preserve"> from </w:t>
      </w:r>
      <w:r w:rsidR="00F27566">
        <w:t xml:space="preserve">$26 million in </w:t>
      </w:r>
      <w:r>
        <w:t>20</w:t>
      </w:r>
      <w:r w:rsidR="003E60A5">
        <w:t>2</w:t>
      </w:r>
      <w:r w:rsidR="00F27566">
        <w:t>1</w:t>
      </w:r>
      <w:r>
        <w:t>).</w:t>
      </w:r>
    </w:p>
    <w:p w14:paraId="143B0B91" w14:textId="77777777" w:rsidR="008809E3" w:rsidRDefault="008809E3" w:rsidP="0081042B">
      <w:pPr>
        <w:pStyle w:val="Heading2"/>
        <w:spacing w:before="0" w:after="0"/>
      </w:pPr>
    </w:p>
    <w:p w14:paraId="4E855569" w14:textId="0F824919" w:rsidR="00A13061" w:rsidRDefault="00A13061" w:rsidP="0081042B">
      <w:pPr>
        <w:pStyle w:val="Heading2"/>
        <w:spacing w:before="0" w:after="0"/>
      </w:pPr>
      <w:r>
        <w:t>Chapter 14—First-Year Expensing, Depreciation, Amortization, and Depletion</w:t>
      </w:r>
    </w:p>
    <w:p w14:paraId="6C2A7F60" w14:textId="2D216B2C" w:rsidR="00A13061" w:rsidRDefault="00A13061" w:rsidP="0081042B">
      <w:pPr>
        <w:spacing w:after="0"/>
      </w:pPr>
      <w:r>
        <w:rPr>
          <w:b/>
          <w:bCs/>
          <w:i/>
          <w:iCs/>
        </w:rPr>
        <w:t xml:space="preserve">First-year expensing. </w:t>
      </w:r>
      <w:r>
        <w:t>The expensing limit for 202</w:t>
      </w:r>
      <w:r w:rsidR="00F27566">
        <w:t>2</w:t>
      </w:r>
      <w:r>
        <w:t xml:space="preserve"> is $1,0</w:t>
      </w:r>
      <w:r w:rsidR="00F27566">
        <w:t>8</w:t>
      </w:r>
      <w:r>
        <w:t>0,000. The limit phases out when purchases for the year exceed $2,</w:t>
      </w:r>
      <w:r w:rsidR="00F27566">
        <w:t>70</w:t>
      </w:r>
      <w:r>
        <w:t>0,000. Thus, no expensing can be used if purchases for the year $3,</w:t>
      </w:r>
      <w:r w:rsidR="00F27566">
        <w:t>78</w:t>
      </w:r>
      <w:r>
        <w:t xml:space="preserve">0,000 million or more. </w:t>
      </w:r>
    </w:p>
    <w:p w14:paraId="693392F7" w14:textId="77777777" w:rsidR="008809E3" w:rsidRDefault="008809E3" w:rsidP="0081042B">
      <w:pPr>
        <w:spacing w:after="0"/>
        <w:rPr>
          <w:b/>
          <w:i/>
        </w:rPr>
      </w:pPr>
    </w:p>
    <w:p w14:paraId="0DD658A4" w14:textId="1A4DB760" w:rsidR="00A13061" w:rsidRPr="00F27566" w:rsidRDefault="00A13061" w:rsidP="00DE0115">
      <w:pPr>
        <w:spacing w:after="0"/>
        <w:rPr>
          <w:highlight w:val="yellow"/>
        </w:rPr>
      </w:pPr>
      <w:r w:rsidRPr="00A01DC3">
        <w:rPr>
          <w:b/>
          <w:i/>
        </w:rPr>
        <w:lastRenderedPageBreak/>
        <w:t>Modified accelerated cost recovery system—recovery periods.</w:t>
      </w:r>
      <w:r w:rsidR="00DE0115">
        <w:rPr>
          <w:b/>
          <w:i/>
        </w:rPr>
        <w:t xml:space="preserve"> </w:t>
      </w:r>
      <w:r w:rsidR="00DE0115">
        <w:rPr>
          <w:bCs/>
          <w:iCs/>
        </w:rPr>
        <w:t xml:space="preserve">The 3-year recovery period for racehorses 2 years or younger expired at the end of 2021 and has not yet been extended. </w:t>
      </w:r>
      <w:r w:rsidRPr="00A01DC3">
        <w:rPr>
          <w:b/>
          <w:i/>
        </w:rPr>
        <w:t xml:space="preserve"> </w:t>
      </w:r>
    </w:p>
    <w:p w14:paraId="7EAE8E30" w14:textId="77777777" w:rsidR="008809E3" w:rsidRDefault="008809E3" w:rsidP="0081042B">
      <w:pPr>
        <w:pStyle w:val="Heading2"/>
        <w:spacing w:before="0" w:after="0"/>
      </w:pPr>
    </w:p>
    <w:p w14:paraId="43EA06C3" w14:textId="7A99F08F" w:rsidR="00A13061" w:rsidRDefault="00A13061" w:rsidP="0081042B">
      <w:pPr>
        <w:pStyle w:val="Heading2"/>
        <w:spacing w:before="0" w:after="0"/>
      </w:pPr>
      <w:r>
        <w:t>Chapter 16—Retirement Plans</w:t>
      </w:r>
    </w:p>
    <w:p w14:paraId="04124B2C" w14:textId="4EE596B3" w:rsidR="00A13061" w:rsidRDefault="00A13061" w:rsidP="0081042B">
      <w:pPr>
        <w:spacing w:after="0"/>
      </w:pPr>
      <w:r>
        <w:rPr>
          <w:b/>
          <w:i/>
        </w:rPr>
        <w:t xml:space="preserve">Contribution limits. </w:t>
      </w:r>
      <w:r>
        <w:t>Various limits have been increased for 202</w:t>
      </w:r>
      <w:r w:rsidR="00F27566">
        <w:t>2</w:t>
      </w:r>
      <w:r>
        <w:t>, although some are unchanged from 20</w:t>
      </w:r>
      <w:r w:rsidR="008A1A28">
        <w:t>2</w:t>
      </w:r>
      <w:r w:rsidR="00F27566">
        <w:t>1</w:t>
      </w:r>
      <w:r>
        <w:t>. The following apply to 202</w:t>
      </w:r>
      <w:r w:rsidR="00F27566">
        <w:t>2</w:t>
      </w:r>
      <w:r>
        <w:t xml:space="preserve"> (not to 20</w:t>
      </w:r>
      <w:r w:rsidR="008A1A28">
        <w:t>2</w:t>
      </w:r>
      <w:r w:rsidR="00F27566">
        <w:t>1</w:t>
      </w:r>
      <w:r>
        <w:t xml:space="preserve"> returns):</w:t>
      </w:r>
    </w:p>
    <w:p w14:paraId="4CDA92C7" w14:textId="6249D197" w:rsidR="00A13061" w:rsidRPr="000135A7" w:rsidRDefault="00A13061" w:rsidP="0081042B">
      <w:pPr>
        <w:numPr>
          <w:ilvl w:val="0"/>
          <w:numId w:val="1"/>
        </w:numPr>
        <w:spacing w:after="0"/>
      </w:pPr>
      <w:r w:rsidRPr="000135A7">
        <w:t>401(k) plan elective deferrals: $</w:t>
      </w:r>
      <w:r w:rsidR="00F27566">
        <w:t>20</w:t>
      </w:r>
      <w:r w:rsidRPr="000135A7">
        <w:t>,</w:t>
      </w:r>
      <w:r>
        <w:t>5</w:t>
      </w:r>
      <w:r w:rsidRPr="000135A7">
        <w:t>00, plus $6,</w:t>
      </w:r>
      <w:r>
        <w:t>5</w:t>
      </w:r>
      <w:r w:rsidRPr="000135A7">
        <w:t>00 for those who are age 50 and older by December 31, 20</w:t>
      </w:r>
      <w:r>
        <w:t>2</w:t>
      </w:r>
      <w:r w:rsidR="00F27566">
        <w:t>2</w:t>
      </w:r>
      <w:r w:rsidRPr="000135A7">
        <w:t xml:space="preserve">. </w:t>
      </w:r>
    </w:p>
    <w:p w14:paraId="783DB42E" w14:textId="6F603510" w:rsidR="00A13061" w:rsidRPr="000135A7" w:rsidRDefault="00A13061" w:rsidP="0081042B">
      <w:pPr>
        <w:numPr>
          <w:ilvl w:val="0"/>
          <w:numId w:val="1"/>
        </w:numPr>
        <w:spacing w:after="0"/>
      </w:pPr>
      <w:r w:rsidRPr="000135A7">
        <w:t>Savings incentive match plan for employees (SIMPLE) elective deferrals:</w:t>
      </w:r>
      <w:r w:rsidRPr="000135A7" w:rsidDel="00D13367">
        <w:t xml:space="preserve"> </w:t>
      </w:r>
      <w:r w:rsidRPr="000135A7">
        <w:t>$</w:t>
      </w:r>
      <w:r w:rsidR="00F27566">
        <w:t>14,000</w:t>
      </w:r>
      <w:r w:rsidRPr="000135A7">
        <w:t>, plus $3,000 for those who are age 50 and older by December 31, 20</w:t>
      </w:r>
      <w:r>
        <w:t>2</w:t>
      </w:r>
      <w:r w:rsidR="00F27566">
        <w:t>2</w:t>
      </w:r>
      <w:r w:rsidRPr="000135A7">
        <w:t>.</w:t>
      </w:r>
    </w:p>
    <w:p w14:paraId="72364B62" w14:textId="4DC73A27" w:rsidR="00A13061" w:rsidRPr="000135A7" w:rsidRDefault="00A13061" w:rsidP="0081042B">
      <w:pPr>
        <w:numPr>
          <w:ilvl w:val="0"/>
          <w:numId w:val="1"/>
        </w:numPr>
        <w:spacing w:after="0"/>
      </w:pPr>
      <w:r w:rsidRPr="000135A7">
        <w:t>Defined contribution plans (profit-sharing plans and simplified employee pension plans [SEPs</w:t>
      </w:r>
      <w:r w:rsidRPr="000135A7" w:rsidDel="00D13367">
        <w:t>]</w:t>
      </w:r>
      <w:r w:rsidRPr="000135A7">
        <w:t>): the limit is $</w:t>
      </w:r>
      <w:r w:rsidR="00F27566">
        <w:t>61</w:t>
      </w:r>
      <w:r w:rsidRPr="000135A7">
        <w:t>,000 (up from $5</w:t>
      </w:r>
      <w:r w:rsidR="00F27566">
        <w:t>8</w:t>
      </w:r>
      <w:r w:rsidRPr="000135A7">
        <w:t>,000 in 20</w:t>
      </w:r>
      <w:r w:rsidR="008A1A28">
        <w:t>2</w:t>
      </w:r>
      <w:r w:rsidR="00F27566">
        <w:t>1</w:t>
      </w:r>
      <w:r w:rsidRPr="000135A7">
        <w:t>).</w:t>
      </w:r>
    </w:p>
    <w:p w14:paraId="27F6E66A" w14:textId="7F0F9263" w:rsidR="00A13061" w:rsidRPr="000135A7" w:rsidRDefault="00A13061" w:rsidP="0081042B">
      <w:pPr>
        <w:numPr>
          <w:ilvl w:val="0"/>
          <w:numId w:val="1"/>
        </w:numPr>
        <w:spacing w:after="0"/>
      </w:pPr>
      <w:r w:rsidRPr="000135A7">
        <w:t>Defined benefit (pension) plans: the limit is $2</w:t>
      </w:r>
      <w:r w:rsidR="00D4566B">
        <w:t>45</w:t>
      </w:r>
      <w:r w:rsidRPr="000135A7">
        <w:t>,000 (</w:t>
      </w:r>
      <w:r w:rsidR="0099492F">
        <w:t>up</w:t>
      </w:r>
      <w:r w:rsidR="00A0079E">
        <w:t xml:space="preserve"> from</w:t>
      </w:r>
      <w:r w:rsidRPr="000135A7">
        <w:t xml:space="preserve"> </w:t>
      </w:r>
      <w:r w:rsidR="00D4566B">
        <w:t xml:space="preserve">$230,000 in </w:t>
      </w:r>
      <w:r w:rsidRPr="000135A7">
        <w:t>20</w:t>
      </w:r>
      <w:r w:rsidR="008A1A28">
        <w:t>2</w:t>
      </w:r>
      <w:r w:rsidR="00D4566B">
        <w:t>1</w:t>
      </w:r>
      <w:r w:rsidRPr="000135A7">
        <w:t>).</w:t>
      </w:r>
    </w:p>
    <w:p w14:paraId="45F23511" w14:textId="1970083C" w:rsidR="00A13061" w:rsidRPr="000135A7" w:rsidRDefault="00A13061" w:rsidP="0081042B">
      <w:pPr>
        <w:numPr>
          <w:ilvl w:val="0"/>
          <w:numId w:val="1"/>
        </w:numPr>
        <w:spacing w:after="0"/>
      </w:pPr>
      <w:r w:rsidRPr="000135A7">
        <w:t xml:space="preserve">Compensation </w:t>
      </w:r>
      <w:proofErr w:type="gramStart"/>
      <w:r w:rsidRPr="000135A7">
        <w:t>taken into account</w:t>
      </w:r>
      <w:proofErr w:type="gramEnd"/>
      <w:r w:rsidRPr="000135A7">
        <w:t xml:space="preserve"> in figuring contributions and benefits: the limit is $</w:t>
      </w:r>
      <w:r w:rsidR="00D4566B">
        <w:t>305</w:t>
      </w:r>
      <w:r w:rsidRPr="000135A7">
        <w:t>,000 (up from $</w:t>
      </w:r>
      <w:r w:rsidR="00D4566B">
        <w:t>290</w:t>
      </w:r>
      <w:r w:rsidRPr="000135A7">
        <w:t>,000 in 20</w:t>
      </w:r>
      <w:r w:rsidR="00A0079E">
        <w:t>2</w:t>
      </w:r>
      <w:r w:rsidR="00D4566B">
        <w:t>1</w:t>
      </w:r>
      <w:r w:rsidRPr="000135A7">
        <w:t>).</w:t>
      </w:r>
    </w:p>
    <w:p w14:paraId="77EAAEBB" w14:textId="2B910F78" w:rsidR="00A13061" w:rsidRPr="000135A7" w:rsidRDefault="00A13061" w:rsidP="0081042B">
      <w:pPr>
        <w:numPr>
          <w:ilvl w:val="0"/>
          <w:numId w:val="1"/>
        </w:numPr>
        <w:spacing w:after="0"/>
      </w:pPr>
      <w:r w:rsidRPr="000135A7">
        <w:t>IRAs: the contribution limits for 20</w:t>
      </w:r>
      <w:r>
        <w:t>2</w:t>
      </w:r>
      <w:r w:rsidR="00D4566B">
        <w:t>2</w:t>
      </w:r>
      <w:r w:rsidRPr="000135A7">
        <w:t xml:space="preserve"> are $6,000, plus $1,000 for those age 50 or older by December 31, 20</w:t>
      </w:r>
      <w:r>
        <w:t>2</w:t>
      </w:r>
      <w:r w:rsidR="0099492F">
        <w:t>2</w:t>
      </w:r>
      <w:r w:rsidRPr="000135A7">
        <w:t xml:space="preserve"> (</w:t>
      </w:r>
      <w:r w:rsidR="00A0079E">
        <w:t>both limits unchanged from 202</w:t>
      </w:r>
      <w:r w:rsidR="00D4566B">
        <w:t>1</w:t>
      </w:r>
      <w:r w:rsidRPr="000135A7">
        <w:t>). However, the adjusted gross income limits for making deductible contributions for those who are active participants in qualified retirement plans have been increased slightly.</w:t>
      </w:r>
    </w:p>
    <w:p w14:paraId="605292A4" w14:textId="77777777" w:rsidR="00554EF2" w:rsidRDefault="00554EF2" w:rsidP="0081042B">
      <w:pPr>
        <w:spacing w:after="0"/>
        <w:rPr>
          <w:bCs/>
          <w:i/>
        </w:rPr>
      </w:pPr>
    </w:p>
    <w:p w14:paraId="4F47804E" w14:textId="4684210B" w:rsidR="00A13061" w:rsidRDefault="00A13061" w:rsidP="0081042B">
      <w:pPr>
        <w:spacing w:after="0"/>
      </w:pPr>
      <w:r w:rsidRPr="0039715F">
        <w:rPr>
          <w:b/>
          <w:i/>
        </w:rPr>
        <w:t xml:space="preserve">PBGC premiums. </w:t>
      </w:r>
      <w:r>
        <w:t>For planning purposes, in 202</w:t>
      </w:r>
      <w:r w:rsidR="0099492F">
        <w:t>2</w:t>
      </w:r>
      <w:r>
        <w:t xml:space="preserve"> the flat-rate premium for each participant is $8</w:t>
      </w:r>
      <w:r w:rsidR="0099492F">
        <w:t>8</w:t>
      </w:r>
      <w:r>
        <w:t xml:space="preserve"> (up from $</w:t>
      </w:r>
      <w:r w:rsidR="0099492F">
        <w:t>86</w:t>
      </w:r>
      <w:r>
        <w:t xml:space="preserve"> in 20</w:t>
      </w:r>
      <w:r w:rsidR="00836528">
        <w:t>2</w:t>
      </w:r>
      <w:r w:rsidR="0099492F">
        <w:t>1</w:t>
      </w:r>
      <w:r>
        <w:t>). The variable rate premium for underfunded plans is $</w:t>
      </w:r>
      <w:r w:rsidR="00C97C96">
        <w:t>48</w:t>
      </w:r>
      <w:r>
        <w:t xml:space="preserve"> per $1,000 of unfunded benefits per employee (up from $</w:t>
      </w:r>
      <w:r w:rsidR="00C97C96">
        <w:t>46</w:t>
      </w:r>
      <w:r>
        <w:t>), with a cap of $</w:t>
      </w:r>
      <w:r w:rsidR="00C97C96">
        <w:t>598</w:t>
      </w:r>
      <w:r>
        <w:t xml:space="preserve"> per participant (up from $5</w:t>
      </w:r>
      <w:r w:rsidR="00C97C96">
        <w:t>82</w:t>
      </w:r>
      <w:r>
        <w:t>).</w:t>
      </w:r>
    </w:p>
    <w:p w14:paraId="3FF0F63D" w14:textId="77777777" w:rsidR="008809E3" w:rsidRDefault="008809E3" w:rsidP="0081042B">
      <w:pPr>
        <w:spacing w:after="0"/>
        <w:rPr>
          <w:b/>
          <w:bCs/>
          <w:i/>
          <w:iCs/>
        </w:rPr>
      </w:pPr>
    </w:p>
    <w:p w14:paraId="051211F9" w14:textId="5F70752F" w:rsidR="00A13061" w:rsidRPr="00567205" w:rsidRDefault="00A13061" w:rsidP="0081042B">
      <w:pPr>
        <w:spacing w:after="0"/>
      </w:pPr>
      <w:r>
        <w:rPr>
          <w:b/>
          <w:bCs/>
          <w:i/>
          <w:iCs/>
        </w:rPr>
        <w:t xml:space="preserve">Plan amendments. </w:t>
      </w:r>
      <w:r>
        <w:t xml:space="preserve">The IRS </w:t>
      </w:r>
      <w:r w:rsidR="007A3092">
        <w:t xml:space="preserve">intends to publish a list each year of </w:t>
      </w:r>
      <w:r>
        <w:t xml:space="preserve">required amendments for </w:t>
      </w:r>
      <w:proofErr w:type="gramStart"/>
      <w:r>
        <w:t>individually-designed</w:t>
      </w:r>
      <w:proofErr w:type="gramEnd"/>
      <w:r>
        <w:t xml:space="preserve"> retirement plans. </w:t>
      </w:r>
      <w:r w:rsidR="007A3092">
        <w:t>The list for 20</w:t>
      </w:r>
      <w:r w:rsidR="00AA2B61">
        <w:t>21</w:t>
      </w:r>
      <w:r w:rsidR="007A3092">
        <w:t xml:space="preserve"> includes updates to pre-approved defined benefit plans (see Notice </w:t>
      </w:r>
      <w:r w:rsidR="006636D8">
        <w:t>2021-64</w:t>
      </w:r>
      <w:r w:rsidR="007A3092">
        <w:t>). Check for the cumulative list of required amendments</w:t>
      </w:r>
      <w:r w:rsidR="006636D8">
        <w:t xml:space="preserve"> </w:t>
      </w:r>
      <w:hyperlink r:id="rId12" w:history="1">
        <w:r w:rsidR="006636D8" w:rsidRPr="006636D8">
          <w:rPr>
            <w:rStyle w:val="Hyperlink"/>
          </w:rPr>
          <w:t>here</w:t>
        </w:r>
      </w:hyperlink>
      <w:r w:rsidR="006636D8">
        <w:t xml:space="preserve">. The required amendment deadline generally is December 31, 2023. </w:t>
      </w:r>
      <w:r w:rsidR="00304A4C">
        <w:t>If you use a prototype plan, which is one provided to you from the financial firm with which you maintain your plan, you will automatically receive documents reflecting plan amendments; you do not have to do anything other than retain the revised documents in your records.</w:t>
      </w:r>
    </w:p>
    <w:p w14:paraId="58CCA656" w14:textId="77777777" w:rsidR="008809E3" w:rsidRDefault="008809E3" w:rsidP="0081042B">
      <w:pPr>
        <w:pStyle w:val="Heading2"/>
        <w:spacing w:before="0" w:after="0"/>
      </w:pPr>
    </w:p>
    <w:p w14:paraId="21482492" w14:textId="1A2356FB" w:rsidR="00A13061" w:rsidRDefault="00A13061" w:rsidP="0081042B">
      <w:pPr>
        <w:pStyle w:val="Heading2"/>
        <w:spacing w:before="0" w:after="0"/>
      </w:pPr>
      <w:r>
        <w:t>Chapter 17—Casualty and Theft Losses</w:t>
      </w:r>
    </w:p>
    <w:p w14:paraId="67AFC7D5" w14:textId="0D33FAAA" w:rsidR="00A13061" w:rsidRDefault="00A13061" w:rsidP="0081042B">
      <w:pPr>
        <w:spacing w:after="0"/>
      </w:pPr>
      <w:r>
        <w:rPr>
          <w:b/>
          <w:i/>
        </w:rPr>
        <w:t xml:space="preserve">Disaster losses. </w:t>
      </w:r>
      <w:r>
        <w:t>Find a list of all federal disaster areas for 20</w:t>
      </w:r>
      <w:r w:rsidR="00A0079E">
        <w:t>2</w:t>
      </w:r>
      <w:r w:rsidR="006636D8">
        <w:t>1</w:t>
      </w:r>
      <w:r>
        <w:t xml:space="preserve"> from </w:t>
      </w:r>
      <w:hyperlink r:id="rId13" w:history="1">
        <w:r w:rsidRPr="006636D8">
          <w:rPr>
            <w:rStyle w:val="Hyperlink"/>
          </w:rPr>
          <w:t>FEMA</w:t>
        </w:r>
      </w:hyperlink>
      <w:r w:rsidR="00A0079E">
        <w:t>.</w:t>
      </w:r>
      <w:r>
        <w:t xml:space="preserve"> Designated disasters in 202</w:t>
      </w:r>
      <w:r w:rsidR="006636D8">
        <w:t>2</w:t>
      </w:r>
      <w:r>
        <w:t xml:space="preserve"> will </w:t>
      </w:r>
      <w:r w:rsidR="00C97C96">
        <w:t xml:space="preserve">also </w:t>
      </w:r>
      <w:r>
        <w:t>be listed by FEMA.</w:t>
      </w:r>
    </w:p>
    <w:p w14:paraId="433BF326" w14:textId="13D7C322" w:rsidR="006636D8" w:rsidRPr="00664562" w:rsidRDefault="006636D8" w:rsidP="0081042B">
      <w:pPr>
        <w:spacing w:after="0"/>
      </w:pPr>
      <w:r>
        <w:tab/>
        <w:t xml:space="preserve">The Infrastructure Investment and Jobs Act of 2021, which was signed into law on November 15, 2021, changes the definition of “disaster.” </w:t>
      </w:r>
      <w:r w:rsidR="00664562">
        <w:rPr>
          <w:rFonts w:ascii="Arial" w:hAnsi="Arial" w:cs="Arial"/>
          <w:color w:val="000000"/>
        </w:rPr>
        <w:t> </w:t>
      </w:r>
      <w:r w:rsidR="00664562" w:rsidRPr="00664562">
        <w:t xml:space="preserve">It is defined as </w:t>
      </w:r>
      <w:r w:rsidR="00E8652C">
        <w:t>34,900</w:t>
      </w:r>
      <w:r w:rsidR="00087351">
        <w:t>The definition applies to disasters occurring after November 15, 2021. The reason for the change is to ensure that taxpayers within disaster areas are covered by the automatic 60-day extension for filing returns and certain other time-sensitive tax actions.</w:t>
      </w:r>
    </w:p>
    <w:p w14:paraId="6FC50A03" w14:textId="77777777" w:rsidR="008809E3" w:rsidRDefault="008809E3" w:rsidP="0081042B">
      <w:pPr>
        <w:spacing w:after="0"/>
        <w:rPr>
          <w:b/>
          <w:bCs/>
          <w:i/>
          <w:iCs/>
        </w:rPr>
      </w:pPr>
    </w:p>
    <w:p w14:paraId="4323576E" w14:textId="77777777" w:rsidR="008809E3" w:rsidRDefault="008809E3" w:rsidP="0081042B">
      <w:pPr>
        <w:pStyle w:val="Heading2"/>
        <w:spacing w:before="0" w:after="0"/>
      </w:pPr>
    </w:p>
    <w:p w14:paraId="0FA99AF0" w14:textId="0998B9FA" w:rsidR="00A13061" w:rsidRDefault="00A13061" w:rsidP="0081042B">
      <w:pPr>
        <w:pStyle w:val="Heading2"/>
        <w:spacing w:before="0" w:after="0"/>
      </w:pPr>
      <w:r>
        <w:t>Chapter 19—Medical Expenses</w:t>
      </w:r>
    </w:p>
    <w:p w14:paraId="395B7DB3" w14:textId="722D7796" w:rsidR="00A13061" w:rsidRDefault="00A13061" w:rsidP="0081042B">
      <w:pPr>
        <w:spacing w:after="0"/>
        <w:rPr>
          <w:b/>
          <w:bCs/>
          <w:i/>
          <w:iCs/>
        </w:rPr>
      </w:pPr>
      <w:r>
        <w:rPr>
          <w:b/>
          <w:bCs/>
          <w:i/>
          <w:iCs/>
        </w:rPr>
        <w:t xml:space="preserve">Small employer health care credit. </w:t>
      </w:r>
      <w:r>
        <w:rPr>
          <w:bCs/>
          <w:iCs/>
        </w:rPr>
        <w:t>Small employers can take th</w:t>
      </w:r>
      <w:r w:rsidR="007C5EA4">
        <w:rPr>
          <w:bCs/>
          <w:iCs/>
        </w:rPr>
        <w:t>is tax</w:t>
      </w:r>
      <w:r>
        <w:rPr>
          <w:bCs/>
          <w:iCs/>
        </w:rPr>
        <w:t xml:space="preserve"> credit only if average annual payroll is below a set amount. This </w:t>
      </w:r>
      <w:r w:rsidR="007C5EA4">
        <w:rPr>
          <w:bCs/>
          <w:iCs/>
        </w:rPr>
        <w:t xml:space="preserve">amount </w:t>
      </w:r>
      <w:r>
        <w:rPr>
          <w:bCs/>
          <w:iCs/>
        </w:rPr>
        <w:t>has been adjusted for inflation so that the full credit applies if the average annual payroll in 202</w:t>
      </w:r>
      <w:r w:rsidR="00087351">
        <w:rPr>
          <w:bCs/>
          <w:iCs/>
        </w:rPr>
        <w:t>2</w:t>
      </w:r>
      <w:r>
        <w:rPr>
          <w:bCs/>
          <w:iCs/>
        </w:rPr>
        <w:t xml:space="preserve"> is $</w:t>
      </w:r>
      <w:r w:rsidRPr="00FC40AE">
        <w:rPr>
          <w:bCs/>
          <w:iCs/>
        </w:rPr>
        <w:t>2</w:t>
      </w:r>
      <w:r w:rsidR="00087351">
        <w:rPr>
          <w:bCs/>
          <w:iCs/>
        </w:rPr>
        <w:t>8</w:t>
      </w:r>
      <w:r w:rsidRPr="00FC40AE">
        <w:rPr>
          <w:bCs/>
          <w:iCs/>
        </w:rPr>
        <w:t>,</w:t>
      </w:r>
      <w:r w:rsidR="00087351">
        <w:rPr>
          <w:bCs/>
          <w:iCs/>
        </w:rPr>
        <w:t>7</w:t>
      </w:r>
      <w:r w:rsidRPr="00FC40AE">
        <w:rPr>
          <w:bCs/>
          <w:iCs/>
        </w:rPr>
        <w:t>00</w:t>
      </w:r>
      <w:r w:rsidR="00087351">
        <w:rPr>
          <w:bCs/>
          <w:iCs/>
        </w:rPr>
        <w:t xml:space="preserve"> (up from $27,800 in 2021)</w:t>
      </w:r>
      <w:r>
        <w:rPr>
          <w:bCs/>
          <w:iCs/>
        </w:rPr>
        <w:t xml:space="preserve">. </w:t>
      </w:r>
    </w:p>
    <w:p w14:paraId="23145A01" w14:textId="77777777" w:rsidR="008809E3" w:rsidRDefault="008809E3" w:rsidP="0081042B">
      <w:pPr>
        <w:spacing w:after="0"/>
        <w:rPr>
          <w:b/>
          <w:bCs/>
          <w:i/>
          <w:iCs/>
        </w:rPr>
      </w:pPr>
    </w:p>
    <w:p w14:paraId="05F21618" w14:textId="22FBEDE6" w:rsidR="00A13061" w:rsidRDefault="00A13061" w:rsidP="0081042B">
      <w:pPr>
        <w:spacing w:after="0"/>
      </w:pPr>
      <w:r>
        <w:rPr>
          <w:b/>
          <w:bCs/>
          <w:i/>
          <w:iCs/>
        </w:rPr>
        <w:t xml:space="preserve">Qualified small employer health reimbursement arrangements (QSEHRAs). </w:t>
      </w:r>
      <w:r>
        <w:t>These reimbursement plans are a way for small employers to help employees pay for the cost of health coverage. For 202</w:t>
      </w:r>
      <w:r w:rsidR="00087351">
        <w:t>2</w:t>
      </w:r>
      <w:r>
        <w:t>, reimbursements to employees are capped at $</w:t>
      </w:r>
      <w:r w:rsidRPr="00FC40AE">
        <w:t>5,</w:t>
      </w:r>
      <w:r w:rsidR="00087351">
        <w:t>450</w:t>
      </w:r>
      <w:r>
        <w:t xml:space="preserve"> for self-only coverage and $</w:t>
      </w:r>
      <w:r w:rsidR="00087351">
        <w:t>11,050</w:t>
      </w:r>
      <w:r>
        <w:t xml:space="preserve"> for family coverage</w:t>
      </w:r>
      <w:r w:rsidR="00087351">
        <w:t xml:space="preserve"> (up from $5,300 and $10,700, respectively, in 2021)</w:t>
      </w:r>
      <w:r>
        <w:t>.</w:t>
      </w:r>
    </w:p>
    <w:p w14:paraId="0EAE4674" w14:textId="77777777" w:rsidR="008809E3" w:rsidRDefault="008809E3" w:rsidP="0081042B">
      <w:pPr>
        <w:spacing w:after="0"/>
        <w:rPr>
          <w:b/>
          <w:bCs/>
          <w:i/>
          <w:iCs/>
        </w:rPr>
      </w:pPr>
    </w:p>
    <w:p w14:paraId="334656EF" w14:textId="5A0C35CA" w:rsidR="00A13061" w:rsidRDefault="00A13061" w:rsidP="0081042B">
      <w:pPr>
        <w:spacing w:after="0"/>
        <w:rPr>
          <w:bCs/>
          <w:iCs/>
        </w:rPr>
      </w:pPr>
      <w:r>
        <w:rPr>
          <w:b/>
          <w:bCs/>
          <w:i/>
          <w:iCs/>
        </w:rPr>
        <w:t xml:space="preserve">Health savings accounts. </w:t>
      </w:r>
      <w:r>
        <w:rPr>
          <w:bCs/>
          <w:iCs/>
        </w:rPr>
        <w:t>The contribution limit for 202</w:t>
      </w:r>
      <w:r w:rsidR="00087351">
        <w:rPr>
          <w:bCs/>
          <w:iCs/>
        </w:rPr>
        <w:t>2</w:t>
      </w:r>
      <w:r>
        <w:rPr>
          <w:bCs/>
          <w:iCs/>
        </w:rPr>
        <w:t xml:space="preserve"> increases to $3,</w:t>
      </w:r>
      <w:r w:rsidR="00A0079E">
        <w:rPr>
          <w:bCs/>
          <w:iCs/>
        </w:rPr>
        <w:t>6</w:t>
      </w:r>
      <w:r w:rsidR="00087351">
        <w:rPr>
          <w:bCs/>
          <w:iCs/>
        </w:rPr>
        <w:t>5</w:t>
      </w:r>
      <w:r>
        <w:rPr>
          <w:bCs/>
          <w:iCs/>
        </w:rPr>
        <w:t>0 for self-only coverage; the limit for family coverage increases to $7,</w:t>
      </w:r>
      <w:r w:rsidR="00087351">
        <w:rPr>
          <w:bCs/>
          <w:iCs/>
        </w:rPr>
        <w:t>3</w:t>
      </w:r>
      <w:r>
        <w:rPr>
          <w:bCs/>
          <w:iCs/>
        </w:rPr>
        <w:t>00</w:t>
      </w:r>
      <w:r w:rsidR="00087351">
        <w:rPr>
          <w:bCs/>
          <w:iCs/>
        </w:rPr>
        <w:t xml:space="preserve"> (up from $3,600 and $7,200, respectively, in 2021)</w:t>
      </w:r>
      <w:r>
        <w:rPr>
          <w:bCs/>
          <w:iCs/>
        </w:rPr>
        <w:t>. Those who are age 55 or older by the end of 202</w:t>
      </w:r>
      <w:r w:rsidR="0061709F">
        <w:rPr>
          <w:bCs/>
          <w:iCs/>
        </w:rPr>
        <w:t>2</w:t>
      </w:r>
      <w:r>
        <w:rPr>
          <w:bCs/>
          <w:iCs/>
        </w:rPr>
        <w:t xml:space="preserve"> </w:t>
      </w:r>
      <w:r w:rsidR="00C97C96">
        <w:rPr>
          <w:bCs/>
          <w:iCs/>
        </w:rPr>
        <w:t xml:space="preserve">but not on Medicare </w:t>
      </w:r>
      <w:r>
        <w:rPr>
          <w:bCs/>
          <w:iCs/>
        </w:rPr>
        <w:t>can add another $1,000 for the year (this additional contribution limit is unchanged</w:t>
      </w:r>
      <w:r w:rsidR="007C5EA4">
        <w:rPr>
          <w:bCs/>
          <w:iCs/>
        </w:rPr>
        <w:t xml:space="preserve"> and married persons must have separate accounts to each use the additional limit</w:t>
      </w:r>
      <w:r>
        <w:rPr>
          <w:bCs/>
          <w:iCs/>
        </w:rPr>
        <w:t>).</w:t>
      </w:r>
    </w:p>
    <w:p w14:paraId="2C81DBDA" w14:textId="676EF85B" w:rsidR="00A13061" w:rsidRDefault="00A13061" w:rsidP="0081042B">
      <w:pPr>
        <w:spacing w:after="0"/>
        <w:ind w:firstLine="720"/>
        <w:rPr>
          <w:bCs/>
          <w:iCs/>
        </w:rPr>
      </w:pPr>
      <w:r>
        <w:rPr>
          <w:bCs/>
          <w:iCs/>
        </w:rPr>
        <w:t>To contribute to a health savings account, the person must be covered by a high-deductible health plan. For 202</w:t>
      </w:r>
      <w:r w:rsidR="00774F89">
        <w:rPr>
          <w:bCs/>
          <w:iCs/>
        </w:rPr>
        <w:t>2</w:t>
      </w:r>
      <w:r>
        <w:rPr>
          <w:bCs/>
          <w:iCs/>
        </w:rPr>
        <w:t>, this means that the plan has a minimum deductible of $1,400 for self-only coverage and $2,800 for family coverage. The cap on annual out-of-pocket expenses (deductibles, co-payments, and other amounts</w:t>
      </w:r>
      <w:r w:rsidR="00C97C96">
        <w:rPr>
          <w:bCs/>
          <w:iCs/>
        </w:rPr>
        <w:t xml:space="preserve"> but not premiums</w:t>
      </w:r>
      <w:r>
        <w:rPr>
          <w:bCs/>
          <w:iCs/>
        </w:rPr>
        <w:t>) cannot exceed $</w:t>
      </w:r>
      <w:r w:rsidR="00A0079E">
        <w:rPr>
          <w:bCs/>
          <w:iCs/>
        </w:rPr>
        <w:t>7,0</w:t>
      </w:r>
      <w:r w:rsidR="00774F89">
        <w:rPr>
          <w:bCs/>
          <w:iCs/>
        </w:rPr>
        <w:t>5</w:t>
      </w:r>
      <w:r w:rsidR="00A0079E">
        <w:rPr>
          <w:bCs/>
          <w:iCs/>
        </w:rPr>
        <w:t>0</w:t>
      </w:r>
      <w:r>
        <w:rPr>
          <w:bCs/>
          <w:iCs/>
        </w:rPr>
        <w:t xml:space="preserve"> for self-only coverage and $</w:t>
      </w:r>
      <w:r w:rsidR="00B874C8">
        <w:rPr>
          <w:bCs/>
          <w:iCs/>
        </w:rPr>
        <w:t>14,</w:t>
      </w:r>
      <w:r w:rsidR="00774F89">
        <w:rPr>
          <w:bCs/>
          <w:iCs/>
        </w:rPr>
        <w:t>1</w:t>
      </w:r>
      <w:r w:rsidR="00B874C8">
        <w:rPr>
          <w:bCs/>
          <w:iCs/>
        </w:rPr>
        <w:t>00</w:t>
      </w:r>
      <w:r>
        <w:rPr>
          <w:bCs/>
          <w:iCs/>
        </w:rPr>
        <w:t xml:space="preserve"> for family coverage. </w:t>
      </w:r>
    </w:p>
    <w:p w14:paraId="57039273" w14:textId="77777777" w:rsidR="008809E3" w:rsidRDefault="008809E3" w:rsidP="0081042B">
      <w:pPr>
        <w:spacing w:after="0"/>
        <w:rPr>
          <w:b/>
          <w:bCs/>
          <w:i/>
          <w:iCs/>
        </w:rPr>
      </w:pPr>
    </w:p>
    <w:p w14:paraId="0CDC098C" w14:textId="66508F84" w:rsidR="00A13061" w:rsidRDefault="00A13061" w:rsidP="0081042B">
      <w:pPr>
        <w:spacing w:after="0"/>
        <w:rPr>
          <w:bCs/>
          <w:iCs/>
        </w:rPr>
      </w:pPr>
      <w:r>
        <w:rPr>
          <w:b/>
          <w:bCs/>
          <w:i/>
          <w:iCs/>
        </w:rPr>
        <w:t>Flexible spending arrangements</w:t>
      </w:r>
      <w:r w:rsidR="007C5EA4">
        <w:rPr>
          <w:b/>
          <w:bCs/>
          <w:i/>
          <w:iCs/>
        </w:rPr>
        <w:t xml:space="preserve"> (FSAs)</w:t>
      </w:r>
      <w:r>
        <w:rPr>
          <w:b/>
          <w:bCs/>
          <w:i/>
          <w:iCs/>
        </w:rPr>
        <w:t xml:space="preserve">. </w:t>
      </w:r>
      <w:r>
        <w:rPr>
          <w:bCs/>
          <w:iCs/>
        </w:rPr>
        <w:t>The maximum amount that employees can add to a medical FSA in 202</w:t>
      </w:r>
      <w:r w:rsidR="00774F89">
        <w:rPr>
          <w:bCs/>
          <w:iCs/>
        </w:rPr>
        <w:t>2</w:t>
      </w:r>
      <w:r>
        <w:rPr>
          <w:bCs/>
          <w:iCs/>
        </w:rPr>
        <w:t xml:space="preserve"> is </w:t>
      </w:r>
      <w:r w:rsidRPr="00FC40AE">
        <w:rPr>
          <w:bCs/>
          <w:iCs/>
        </w:rPr>
        <w:t>$2,</w:t>
      </w:r>
      <w:r w:rsidR="00774F89">
        <w:rPr>
          <w:bCs/>
          <w:iCs/>
        </w:rPr>
        <w:t>8</w:t>
      </w:r>
      <w:r>
        <w:rPr>
          <w:bCs/>
          <w:iCs/>
        </w:rPr>
        <w:t>5</w:t>
      </w:r>
      <w:r w:rsidRPr="00FC40AE">
        <w:rPr>
          <w:bCs/>
          <w:iCs/>
        </w:rPr>
        <w:t>0 (</w:t>
      </w:r>
      <w:r w:rsidR="00774F89">
        <w:rPr>
          <w:bCs/>
          <w:iCs/>
        </w:rPr>
        <w:t>up</w:t>
      </w:r>
      <w:r w:rsidR="007A3092">
        <w:rPr>
          <w:bCs/>
          <w:iCs/>
        </w:rPr>
        <w:t xml:space="preserve"> from </w:t>
      </w:r>
      <w:r w:rsidR="00774F89">
        <w:rPr>
          <w:bCs/>
          <w:iCs/>
        </w:rPr>
        <w:t>$2,750 in</w:t>
      </w:r>
      <w:r w:rsidR="007A3092">
        <w:rPr>
          <w:bCs/>
          <w:iCs/>
        </w:rPr>
        <w:t xml:space="preserve"> 202</w:t>
      </w:r>
      <w:r w:rsidR="00774F89">
        <w:rPr>
          <w:bCs/>
          <w:iCs/>
        </w:rPr>
        <w:t>1</w:t>
      </w:r>
      <w:r>
        <w:rPr>
          <w:bCs/>
          <w:iCs/>
        </w:rPr>
        <w:t>).</w:t>
      </w:r>
      <w:r w:rsidR="006B1902">
        <w:rPr>
          <w:bCs/>
          <w:iCs/>
        </w:rPr>
        <w:t xml:space="preserve"> </w:t>
      </w:r>
    </w:p>
    <w:p w14:paraId="4EAB035D" w14:textId="77777777" w:rsidR="008809E3" w:rsidRDefault="008809E3" w:rsidP="0081042B">
      <w:pPr>
        <w:spacing w:after="0"/>
        <w:rPr>
          <w:b/>
          <w:bCs/>
          <w:i/>
          <w:iCs/>
        </w:rPr>
      </w:pPr>
    </w:p>
    <w:p w14:paraId="27CFCB77" w14:textId="77777777" w:rsidR="00A13061" w:rsidRDefault="00A13061" w:rsidP="0081042B">
      <w:pPr>
        <w:pStyle w:val="Heading2"/>
        <w:spacing w:before="0" w:after="0"/>
      </w:pPr>
      <w:r>
        <w:t>Chapter 20—Deductions for Farmers</w:t>
      </w:r>
    </w:p>
    <w:p w14:paraId="6D1FAA79" w14:textId="7188E7DD" w:rsidR="00A7215F" w:rsidRDefault="00A13061" w:rsidP="0081042B">
      <w:pPr>
        <w:spacing w:after="0"/>
      </w:pPr>
      <w:r w:rsidRPr="006B1902">
        <w:rPr>
          <w:b/>
          <w:i/>
        </w:rPr>
        <w:t xml:space="preserve">Depreciation. </w:t>
      </w:r>
      <w:r w:rsidRPr="007B2E9F">
        <w:t>The 3-year depreciation recovery period for racehorses 2 years or younger</w:t>
      </w:r>
      <w:r w:rsidR="007B2E9F">
        <w:t xml:space="preserve"> </w:t>
      </w:r>
      <w:r w:rsidRPr="007B2E9F">
        <w:t>expired at the end of 20</w:t>
      </w:r>
      <w:r w:rsidR="006B1902" w:rsidRPr="007B2E9F">
        <w:t>21</w:t>
      </w:r>
      <w:r w:rsidR="007B2E9F">
        <w:t>; it has not yet been extended for 2022</w:t>
      </w:r>
      <w:r w:rsidRPr="006B1902">
        <w:t>.</w:t>
      </w:r>
    </w:p>
    <w:p w14:paraId="308E27A9" w14:textId="77777777" w:rsidR="008809E3" w:rsidRDefault="008809E3" w:rsidP="0081042B">
      <w:pPr>
        <w:spacing w:after="0"/>
        <w:rPr>
          <w:b/>
          <w:bCs/>
          <w:i/>
          <w:iCs/>
        </w:rPr>
      </w:pPr>
    </w:p>
    <w:p w14:paraId="4B74A537" w14:textId="77777777" w:rsidR="008809E3" w:rsidRDefault="008809E3" w:rsidP="0081042B">
      <w:pPr>
        <w:pStyle w:val="Heading2"/>
        <w:spacing w:before="0" w:after="0"/>
      </w:pPr>
    </w:p>
    <w:p w14:paraId="063887B5" w14:textId="58944700" w:rsidR="00A13061" w:rsidRDefault="00A13061" w:rsidP="0081042B">
      <w:pPr>
        <w:pStyle w:val="Heading2"/>
        <w:spacing w:before="0" w:after="0"/>
      </w:pPr>
      <w:r>
        <w:t>Chapter 21—Qualified Business Income Deduction</w:t>
      </w:r>
    </w:p>
    <w:p w14:paraId="6F40D4D2" w14:textId="77777777" w:rsidR="00774F89" w:rsidRDefault="00A13061" w:rsidP="0081042B">
      <w:pPr>
        <w:spacing w:after="0"/>
      </w:pPr>
      <w:r>
        <w:rPr>
          <w:b/>
          <w:bCs/>
          <w:i/>
          <w:iCs/>
        </w:rPr>
        <w:t>Taxable income threshold for 202</w:t>
      </w:r>
      <w:r w:rsidR="00774F89">
        <w:rPr>
          <w:b/>
          <w:bCs/>
          <w:i/>
          <w:iCs/>
        </w:rPr>
        <w:t>2</w:t>
      </w:r>
      <w:r>
        <w:rPr>
          <w:b/>
          <w:bCs/>
          <w:i/>
          <w:iCs/>
        </w:rPr>
        <w:t xml:space="preserve">. </w:t>
      </w:r>
      <w:bookmarkStart w:id="5" w:name="_Hlk28508573"/>
      <w:r>
        <w:t>The taxable income threshold</w:t>
      </w:r>
      <w:r w:rsidR="00774F89">
        <w:t>s</w:t>
      </w:r>
      <w:r>
        <w:t xml:space="preserve"> </w:t>
      </w:r>
      <w:r w:rsidR="00283FED">
        <w:t xml:space="preserve">for the QBI deduction </w:t>
      </w:r>
      <w:r w:rsidR="00774F89">
        <w:t>are:</w:t>
      </w:r>
    </w:p>
    <w:p w14:paraId="74F7F14F" w14:textId="77777777" w:rsidR="00774F89" w:rsidRDefault="00774F89" w:rsidP="0081042B">
      <w:pPr>
        <w:spacing w:after="0"/>
      </w:pPr>
    </w:p>
    <w:tbl>
      <w:tblPr>
        <w:tblStyle w:val="TableGrid"/>
        <w:tblW w:w="0" w:type="auto"/>
        <w:tblLook w:val="04A0" w:firstRow="1" w:lastRow="0" w:firstColumn="1" w:lastColumn="0" w:noHBand="0" w:noVBand="1"/>
      </w:tblPr>
      <w:tblGrid>
        <w:gridCol w:w="2876"/>
        <w:gridCol w:w="2877"/>
        <w:gridCol w:w="2877"/>
      </w:tblGrid>
      <w:tr w:rsidR="00774F89" w:rsidRPr="00DA412B" w14:paraId="6F0B58ED" w14:textId="77777777" w:rsidTr="00774F89">
        <w:tc>
          <w:tcPr>
            <w:tcW w:w="2876" w:type="dxa"/>
          </w:tcPr>
          <w:bookmarkEnd w:id="5"/>
          <w:p w14:paraId="5E4B7CBE" w14:textId="0D07F9E9" w:rsidR="00774F89" w:rsidRPr="00DA412B" w:rsidRDefault="00774F89" w:rsidP="0081042B">
            <w:pPr>
              <w:spacing w:after="0"/>
              <w:rPr>
                <w:b/>
                <w:bCs/>
                <w:i/>
                <w:iCs/>
                <w:sz w:val="24"/>
                <w:szCs w:val="24"/>
              </w:rPr>
            </w:pPr>
            <w:r w:rsidRPr="00DA412B">
              <w:rPr>
                <w:b/>
                <w:bCs/>
                <w:i/>
                <w:iCs/>
                <w:sz w:val="24"/>
                <w:szCs w:val="24"/>
              </w:rPr>
              <w:t>Filing status</w:t>
            </w:r>
          </w:p>
        </w:tc>
        <w:tc>
          <w:tcPr>
            <w:tcW w:w="2877" w:type="dxa"/>
          </w:tcPr>
          <w:p w14:paraId="10FD6768" w14:textId="2DE56834" w:rsidR="00774F89" w:rsidRPr="00DA412B" w:rsidRDefault="00774F89" w:rsidP="0081042B">
            <w:pPr>
              <w:spacing w:after="0"/>
              <w:rPr>
                <w:b/>
                <w:bCs/>
                <w:i/>
                <w:iCs/>
                <w:sz w:val="24"/>
                <w:szCs w:val="24"/>
              </w:rPr>
            </w:pPr>
            <w:r w:rsidRPr="00DA412B">
              <w:rPr>
                <w:b/>
                <w:bCs/>
                <w:i/>
                <w:iCs/>
                <w:sz w:val="24"/>
                <w:szCs w:val="24"/>
              </w:rPr>
              <w:t>Threshold amount</w:t>
            </w:r>
          </w:p>
        </w:tc>
        <w:tc>
          <w:tcPr>
            <w:tcW w:w="2877" w:type="dxa"/>
          </w:tcPr>
          <w:p w14:paraId="6474C736" w14:textId="44EBCCEC" w:rsidR="00774F89" w:rsidRPr="00DA412B" w:rsidRDefault="00774F89" w:rsidP="0081042B">
            <w:pPr>
              <w:spacing w:after="0"/>
              <w:rPr>
                <w:b/>
                <w:bCs/>
                <w:i/>
                <w:iCs/>
                <w:sz w:val="24"/>
                <w:szCs w:val="24"/>
              </w:rPr>
            </w:pPr>
            <w:r w:rsidRPr="00DA412B">
              <w:rPr>
                <w:b/>
                <w:bCs/>
                <w:i/>
                <w:iCs/>
                <w:sz w:val="24"/>
                <w:szCs w:val="24"/>
              </w:rPr>
              <w:t>Phase-in range amount</w:t>
            </w:r>
          </w:p>
        </w:tc>
      </w:tr>
      <w:tr w:rsidR="00774F89" w:rsidRPr="00DA412B" w14:paraId="42404138" w14:textId="77777777" w:rsidTr="00774F89">
        <w:tc>
          <w:tcPr>
            <w:tcW w:w="2876" w:type="dxa"/>
          </w:tcPr>
          <w:p w14:paraId="215F7509" w14:textId="4211DEC4" w:rsidR="00774F89" w:rsidRPr="00DA412B" w:rsidRDefault="00774F89" w:rsidP="0081042B">
            <w:pPr>
              <w:spacing w:after="0"/>
              <w:rPr>
                <w:sz w:val="24"/>
                <w:szCs w:val="24"/>
              </w:rPr>
            </w:pPr>
            <w:r w:rsidRPr="00DA412B">
              <w:rPr>
                <w:sz w:val="24"/>
                <w:szCs w:val="24"/>
              </w:rPr>
              <w:t>Married filing jointly</w:t>
            </w:r>
          </w:p>
        </w:tc>
        <w:tc>
          <w:tcPr>
            <w:tcW w:w="2877" w:type="dxa"/>
          </w:tcPr>
          <w:p w14:paraId="66199456" w14:textId="3E7F6336" w:rsidR="00774F89" w:rsidRPr="00DA412B" w:rsidRDefault="00774F89" w:rsidP="0081042B">
            <w:pPr>
              <w:spacing w:after="0"/>
              <w:rPr>
                <w:sz w:val="24"/>
                <w:szCs w:val="24"/>
              </w:rPr>
            </w:pPr>
            <w:r w:rsidRPr="00DA412B">
              <w:rPr>
                <w:sz w:val="24"/>
                <w:szCs w:val="24"/>
              </w:rPr>
              <w:t>$340,100</w:t>
            </w:r>
          </w:p>
        </w:tc>
        <w:tc>
          <w:tcPr>
            <w:tcW w:w="2877" w:type="dxa"/>
          </w:tcPr>
          <w:p w14:paraId="7E5C9EAD" w14:textId="102185B4" w:rsidR="00774F89" w:rsidRPr="00DA412B" w:rsidRDefault="00774F89" w:rsidP="0081042B">
            <w:pPr>
              <w:spacing w:after="0"/>
              <w:rPr>
                <w:sz w:val="24"/>
                <w:szCs w:val="24"/>
              </w:rPr>
            </w:pPr>
            <w:r w:rsidRPr="00DA412B">
              <w:rPr>
                <w:sz w:val="24"/>
                <w:szCs w:val="24"/>
              </w:rPr>
              <w:t>$440,100</w:t>
            </w:r>
          </w:p>
        </w:tc>
      </w:tr>
      <w:tr w:rsidR="00774F89" w:rsidRPr="00DA412B" w14:paraId="12266DB2" w14:textId="77777777" w:rsidTr="00774F89">
        <w:tc>
          <w:tcPr>
            <w:tcW w:w="2876" w:type="dxa"/>
          </w:tcPr>
          <w:p w14:paraId="3612CA40" w14:textId="1882D48C" w:rsidR="00774F89" w:rsidRPr="00DA412B" w:rsidRDefault="00DA412B" w:rsidP="0081042B">
            <w:pPr>
              <w:spacing w:after="0"/>
              <w:rPr>
                <w:sz w:val="24"/>
                <w:szCs w:val="24"/>
              </w:rPr>
            </w:pPr>
            <w:r w:rsidRPr="00DA412B">
              <w:rPr>
                <w:sz w:val="24"/>
                <w:szCs w:val="24"/>
              </w:rPr>
              <w:t>All other filers</w:t>
            </w:r>
          </w:p>
        </w:tc>
        <w:tc>
          <w:tcPr>
            <w:tcW w:w="2877" w:type="dxa"/>
          </w:tcPr>
          <w:p w14:paraId="09E5C8FA" w14:textId="3CB9CE70" w:rsidR="00774F89" w:rsidRPr="00DA412B" w:rsidRDefault="00774F89" w:rsidP="0081042B">
            <w:pPr>
              <w:spacing w:after="0"/>
              <w:rPr>
                <w:sz w:val="24"/>
                <w:szCs w:val="24"/>
              </w:rPr>
            </w:pPr>
            <w:r w:rsidRPr="00DA412B">
              <w:rPr>
                <w:sz w:val="24"/>
                <w:szCs w:val="24"/>
              </w:rPr>
              <w:t>$170,050</w:t>
            </w:r>
          </w:p>
        </w:tc>
        <w:tc>
          <w:tcPr>
            <w:tcW w:w="2877" w:type="dxa"/>
          </w:tcPr>
          <w:p w14:paraId="4F5BDC7C" w14:textId="36232703" w:rsidR="00774F89" w:rsidRPr="00DA412B" w:rsidRDefault="00774F89" w:rsidP="0081042B">
            <w:pPr>
              <w:spacing w:after="0"/>
              <w:rPr>
                <w:sz w:val="24"/>
                <w:szCs w:val="24"/>
              </w:rPr>
            </w:pPr>
            <w:r w:rsidRPr="00DA412B">
              <w:rPr>
                <w:sz w:val="24"/>
                <w:szCs w:val="24"/>
              </w:rPr>
              <w:t>$220,050</w:t>
            </w:r>
          </w:p>
        </w:tc>
      </w:tr>
    </w:tbl>
    <w:p w14:paraId="7540A034" w14:textId="4B4ED9C9" w:rsidR="00283FED" w:rsidRDefault="00283FED" w:rsidP="0081042B">
      <w:pPr>
        <w:spacing w:after="0"/>
      </w:pPr>
    </w:p>
    <w:p w14:paraId="2CACC092" w14:textId="71EEFCCF" w:rsidR="00A13061" w:rsidRDefault="00A13061" w:rsidP="0081042B">
      <w:pPr>
        <w:pStyle w:val="Heading2"/>
        <w:spacing w:before="0" w:after="0"/>
      </w:pPr>
      <w:r>
        <w:t>Chapter 22—Miscellaneous Business Deductions</w:t>
      </w:r>
    </w:p>
    <w:p w14:paraId="2496A28E" w14:textId="224F34BF" w:rsidR="00A13061" w:rsidRDefault="00A13061" w:rsidP="007778CF">
      <w:pPr>
        <w:spacing w:after="0"/>
        <w:rPr>
          <w:bCs/>
        </w:rPr>
      </w:pPr>
      <w:r>
        <w:rPr>
          <w:b/>
          <w:bCs/>
          <w:i/>
        </w:rPr>
        <w:t>Personal education incentives for 20</w:t>
      </w:r>
      <w:r w:rsidR="00DA412B">
        <w:rPr>
          <w:b/>
          <w:bCs/>
          <w:i/>
        </w:rPr>
        <w:t>22</w:t>
      </w:r>
      <w:r w:rsidR="007778CF">
        <w:rPr>
          <w:b/>
          <w:bCs/>
          <w:i/>
        </w:rPr>
        <w:t xml:space="preserve">: </w:t>
      </w:r>
      <w:r w:rsidRPr="00B057E2">
        <w:rPr>
          <w:b/>
          <w:bCs/>
          <w:i/>
        </w:rPr>
        <w:t>Student loan interest</w:t>
      </w:r>
      <w:r w:rsidRPr="00B057E2">
        <w:rPr>
          <w:b/>
          <w:bCs/>
        </w:rPr>
        <w:t>.</w:t>
      </w:r>
      <w:r>
        <w:rPr>
          <w:bCs/>
        </w:rPr>
        <w:t xml:space="preserve"> The 202</w:t>
      </w:r>
      <w:r w:rsidR="007778CF">
        <w:rPr>
          <w:bCs/>
        </w:rPr>
        <w:t>2</w:t>
      </w:r>
      <w:r>
        <w:rPr>
          <w:bCs/>
        </w:rPr>
        <w:t xml:space="preserve"> modified adjusted gross income range over which the deduction limit of up to $2,500 of interest is phased out is $</w:t>
      </w:r>
      <w:r w:rsidRPr="00252149">
        <w:rPr>
          <w:bCs/>
        </w:rPr>
        <w:t>14</w:t>
      </w:r>
      <w:r w:rsidR="007778CF">
        <w:rPr>
          <w:bCs/>
        </w:rPr>
        <w:t>5</w:t>
      </w:r>
      <w:r w:rsidRPr="00252149">
        <w:rPr>
          <w:bCs/>
        </w:rPr>
        <w:t>,000 to $17</w:t>
      </w:r>
      <w:r w:rsidR="007778CF">
        <w:rPr>
          <w:bCs/>
        </w:rPr>
        <w:t>5</w:t>
      </w:r>
      <w:r w:rsidRPr="00252149">
        <w:rPr>
          <w:bCs/>
        </w:rPr>
        <w:t>,000 on a joint return; for singles it is $70,000 to $85,000</w:t>
      </w:r>
      <w:r>
        <w:rPr>
          <w:bCs/>
        </w:rPr>
        <w:t xml:space="preserve">. </w:t>
      </w:r>
      <w:r>
        <w:rPr>
          <w:bCs/>
        </w:rPr>
        <w:lastRenderedPageBreak/>
        <w:t xml:space="preserve">These dollar amounts </w:t>
      </w:r>
      <w:r w:rsidR="007778CF">
        <w:rPr>
          <w:bCs/>
        </w:rPr>
        <w:t xml:space="preserve">for singles are unchanged; those for married filing jointly are </w:t>
      </w:r>
      <w:r w:rsidR="00C97C96">
        <w:rPr>
          <w:bCs/>
        </w:rPr>
        <w:t>each $5,000</w:t>
      </w:r>
      <w:r w:rsidR="007778CF">
        <w:rPr>
          <w:bCs/>
        </w:rPr>
        <w:t xml:space="preserve"> higher</w:t>
      </w:r>
      <w:r>
        <w:rPr>
          <w:bCs/>
        </w:rPr>
        <w:t>.</w:t>
      </w:r>
    </w:p>
    <w:p w14:paraId="6DC2E38A" w14:textId="383919A9" w:rsidR="00540EE6" w:rsidRPr="00CF357F" w:rsidRDefault="00540EE6" w:rsidP="007778CF">
      <w:pPr>
        <w:spacing w:after="0"/>
        <w:rPr>
          <w:bCs/>
        </w:rPr>
      </w:pPr>
      <w:r>
        <w:rPr>
          <w:bCs/>
        </w:rPr>
        <w:tab/>
        <w:t>Cancellation of student loan debt by most lenders is not taxable income. This rule applies through 2025.</w:t>
      </w:r>
    </w:p>
    <w:p w14:paraId="2F409217" w14:textId="77777777" w:rsidR="008809E3" w:rsidRDefault="008809E3" w:rsidP="0081042B">
      <w:pPr>
        <w:spacing w:after="0"/>
        <w:rPr>
          <w:b/>
          <w:bCs/>
          <w:i/>
        </w:rPr>
      </w:pPr>
    </w:p>
    <w:p w14:paraId="41E6DD27" w14:textId="330B0CB4" w:rsidR="00A13061" w:rsidRPr="00A65758" w:rsidRDefault="00A13061" w:rsidP="0081042B">
      <w:pPr>
        <w:spacing w:after="0"/>
        <w:rPr>
          <w:bCs/>
        </w:rPr>
      </w:pPr>
      <w:r>
        <w:rPr>
          <w:b/>
          <w:bCs/>
          <w:i/>
        </w:rPr>
        <w:t xml:space="preserve">Legal and professional fees. </w:t>
      </w:r>
      <w:r>
        <w:rPr>
          <w:bCs/>
        </w:rPr>
        <w:t>If you win a dispute with the IRS in which the government was not substantially justified, you may be able to recover costs up to a set dollar amount. For 202</w:t>
      </w:r>
      <w:r w:rsidR="00C97C96">
        <w:rPr>
          <w:bCs/>
        </w:rPr>
        <w:t>2</w:t>
      </w:r>
      <w:r>
        <w:rPr>
          <w:bCs/>
        </w:rPr>
        <w:t>, the dollar amount is $</w:t>
      </w:r>
      <w:r w:rsidRPr="00252149">
        <w:rPr>
          <w:bCs/>
        </w:rPr>
        <w:t>2</w:t>
      </w:r>
      <w:r w:rsidR="007778CF">
        <w:rPr>
          <w:bCs/>
        </w:rPr>
        <w:t>2</w:t>
      </w:r>
      <w:r w:rsidRPr="00252149">
        <w:rPr>
          <w:bCs/>
        </w:rPr>
        <w:t>0 per hour (</w:t>
      </w:r>
      <w:r w:rsidR="007778CF">
        <w:rPr>
          <w:bCs/>
        </w:rPr>
        <w:t>up</w:t>
      </w:r>
      <w:r w:rsidR="00B874C8">
        <w:rPr>
          <w:bCs/>
        </w:rPr>
        <w:t xml:space="preserve"> from</w:t>
      </w:r>
      <w:r w:rsidR="007778CF">
        <w:rPr>
          <w:bCs/>
        </w:rPr>
        <w:t xml:space="preserve"> $210 in</w:t>
      </w:r>
      <w:r w:rsidR="00B874C8">
        <w:rPr>
          <w:bCs/>
        </w:rPr>
        <w:t xml:space="preserve"> 202</w:t>
      </w:r>
      <w:r w:rsidR="00C97C96">
        <w:rPr>
          <w:bCs/>
        </w:rPr>
        <w:t>1</w:t>
      </w:r>
      <w:r>
        <w:rPr>
          <w:bCs/>
        </w:rPr>
        <w:t>).</w:t>
      </w:r>
    </w:p>
    <w:p w14:paraId="1A301C46" w14:textId="77777777" w:rsidR="008809E3" w:rsidRDefault="008809E3" w:rsidP="0081042B">
      <w:pPr>
        <w:spacing w:after="0"/>
        <w:rPr>
          <w:b/>
          <w:bCs/>
          <w:i/>
        </w:rPr>
      </w:pPr>
    </w:p>
    <w:p w14:paraId="50BF0A84" w14:textId="02CB5489" w:rsidR="00A13061" w:rsidRDefault="00A13061" w:rsidP="0081042B">
      <w:pPr>
        <w:spacing w:after="0"/>
        <w:rPr>
          <w:bCs/>
        </w:rPr>
      </w:pPr>
      <w:r>
        <w:rPr>
          <w:b/>
          <w:bCs/>
          <w:i/>
        </w:rPr>
        <w:t xml:space="preserve">Meal costs for day care providers. </w:t>
      </w:r>
      <w:r>
        <w:rPr>
          <w:bCs/>
        </w:rPr>
        <w:t>For 202</w:t>
      </w:r>
      <w:r w:rsidR="007778CF">
        <w:rPr>
          <w:bCs/>
        </w:rPr>
        <w:t>2</w:t>
      </w:r>
      <w:r>
        <w:rPr>
          <w:bCs/>
        </w:rPr>
        <w:t>, the rates for standard meals and snack rates in all localities have increased slightly. They are:</w:t>
      </w:r>
    </w:p>
    <w:p w14:paraId="4C0352A1" w14:textId="77777777" w:rsidR="00A13061" w:rsidRPr="00DC11A0" w:rsidRDefault="00A13061" w:rsidP="0081042B">
      <w:pPr>
        <w:spacing w:after="0"/>
        <w:rPr>
          <w:bCs/>
        </w:rPr>
      </w:pPr>
      <w:r w:rsidRPr="00DC11A0" w:rsidDel="00D13367">
        <w:rPr>
          <w:bCs/>
        </w:rPr>
        <w:t>B</w:t>
      </w:r>
      <w:r w:rsidRPr="00DC11A0">
        <w:rPr>
          <w:bCs/>
        </w:rPr>
        <w:t>reakfast:</w:t>
      </w:r>
    </w:p>
    <w:p w14:paraId="3685BAD0" w14:textId="22D89938" w:rsidR="00A13061" w:rsidRPr="00DC11A0" w:rsidRDefault="00A13061" w:rsidP="0081042B">
      <w:pPr>
        <w:numPr>
          <w:ilvl w:val="0"/>
          <w:numId w:val="2"/>
        </w:numPr>
        <w:spacing w:after="0"/>
        <w:rPr>
          <w:bCs/>
        </w:rPr>
      </w:pPr>
      <w:r w:rsidRPr="00DC11A0">
        <w:rPr>
          <w:bCs/>
        </w:rPr>
        <w:t>States other than Alaska and Hawaii:</w:t>
      </w:r>
      <w:r w:rsidRPr="00DC11A0" w:rsidDel="00D13367">
        <w:rPr>
          <w:bCs/>
        </w:rPr>
        <w:t xml:space="preserve"> </w:t>
      </w:r>
      <w:r w:rsidRPr="00DC11A0">
        <w:rPr>
          <w:bCs/>
        </w:rPr>
        <w:t>$1.</w:t>
      </w:r>
      <w:r w:rsidR="007778CF">
        <w:rPr>
          <w:bCs/>
        </w:rPr>
        <w:t>40</w:t>
      </w:r>
    </w:p>
    <w:p w14:paraId="435C8C9D" w14:textId="7FB2010B" w:rsidR="00A13061" w:rsidRPr="00DC11A0" w:rsidRDefault="00A13061" w:rsidP="0081042B">
      <w:pPr>
        <w:numPr>
          <w:ilvl w:val="0"/>
          <w:numId w:val="2"/>
        </w:numPr>
        <w:spacing w:after="0"/>
        <w:rPr>
          <w:bCs/>
        </w:rPr>
      </w:pPr>
      <w:r w:rsidRPr="00DC11A0">
        <w:rPr>
          <w:bCs/>
        </w:rPr>
        <w:t>Alaska:</w:t>
      </w:r>
      <w:r w:rsidRPr="00DC11A0" w:rsidDel="00D13367">
        <w:rPr>
          <w:bCs/>
        </w:rPr>
        <w:t xml:space="preserve"> </w:t>
      </w:r>
      <w:r w:rsidRPr="00DC11A0">
        <w:rPr>
          <w:bCs/>
        </w:rPr>
        <w:t>$2.</w:t>
      </w:r>
      <w:r w:rsidR="00DC11A0">
        <w:rPr>
          <w:bCs/>
        </w:rPr>
        <w:t>2</w:t>
      </w:r>
      <w:r w:rsidR="007778CF">
        <w:rPr>
          <w:bCs/>
        </w:rPr>
        <w:t>3</w:t>
      </w:r>
    </w:p>
    <w:p w14:paraId="508B2EB6" w14:textId="0800937C" w:rsidR="00A13061" w:rsidRPr="00DC11A0" w:rsidRDefault="00A13061" w:rsidP="0081042B">
      <w:pPr>
        <w:numPr>
          <w:ilvl w:val="0"/>
          <w:numId w:val="2"/>
        </w:numPr>
        <w:spacing w:after="0"/>
        <w:rPr>
          <w:bCs/>
        </w:rPr>
      </w:pPr>
      <w:r w:rsidRPr="00DC11A0">
        <w:rPr>
          <w:bCs/>
        </w:rPr>
        <w:t>Hawaii: $1.</w:t>
      </w:r>
      <w:r w:rsidR="00DC11A0">
        <w:rPr>
          <w:bCs/>
        </w:rPr>
        <w:t>6</w:t>
      </w:r>
      <w:r w:rsidR="007778CF">
        <w:rPr>
          <w:bCs/>
        </w:rPr>
        <w:t>3</w:t>
      </w:r>
    </w:p>
    <w:p w14:paraId="068BE77E" w14:textId="77777777" w:rsidR="00A13061" w:rsidRPr="00DC11A0" w:rsidRDefault="00A13061" w:rsidP="0081042B">
      <w:pPr>
        <w:spacing w:after="0"/>
        <w:rPr>
          <w:bCs/>
        </w:rPr>
      </w:pPr>
      <w:r w:rsidRPr="00DC11A0">
        <w:rPr>
          <w:bCs/>
        </w:rPr>
        <w:t>Lunch and dinner:</w:t>
      </w:r>
    </w:p>
    <w:p w14:paraId="403C8B6A" w14:textId="53892E3B" w:rsidR="00A13061" w:rsidRPr="00DC11A0" w:rsidRDefault="00A13061" w:rsidP="0081042B">
      <w:pPr>
        <w:numPr>
          <w:ilvl w:val="0"/>
          <w:numId w:val="3"/>
        </w:numPr>
        <w:spacing w:after="0"/>
        <w:rPr>
          <w:bCs/>
        </w:rPr>
      </w:pPr>
      <w:r w:rsidRPr="00DC11A0">
        <w:rPr>
          <w:bCs/>
        </w:rPr>
        <w:t>States other than Alaska and Hawaii:</w:t>
      </w:r>
      <w:r w:rsidRPr="00DC11A0" w:rsidDel="00D13367">
        <w:rPr>
          <w:bCs/>
        </w:rPr>
        <w:t xml:space="preserve"> </w:t>
      </w:r>
      <w:r w:rsidRPr="00DC11A0">
        <w:rPr>
          <w:bCs/>
        </w:rPr>
        <w:t>$2.</w:t>
      </w:r>
      <w:r w:rsidR="00DC11A0">
        <w:rPr>
          <w:bCs/>
        </w:rPr>
        <w:t>6</w:t>
      </w:r>
      <w:r w:rsidR="00F92A95">
        <w:rPr>
          <w:bCs/>
        </w:rPr>
        <w:t>3</w:t>
      </w:r>
    </w:p>
    <w:p w14:paraId="6DBD35A6" w14:textId="5C313FD9" w:rsidR="00A13061" w:rsidRPr="00DC11A0" w:rsidRDefault="00A13061" w:rsidP="0081042B">
      <w:pPr>
        <w:numPr>
          <w:ilvl w:val="0"/>
          <w:numId w:val="3"/>
        </w:numPr>
        <w:spacing w:after="0"/>
        <w:rPr>
          <w:bCs/>
        </w:rPr>
      </w:pPr>
      <w:r w:rsidRPr="00DC11A0">
        <w:rPr>
          <w:bCs/>
        </w:rPr>
        <w:t>Alaska: $4.</w:t>
      </w:r>
      <w:r w:rsidR="00DC11A0">
        <w:rPr>
          <w:bCs/>
        </w:rPr>
        <w:t>2</w:t>
      </w:r>
      <w:r w:rsidR="00F92A95">
        <w:rPr>
          <w:bCs/>
        </w:rPr>
        <w:t>6</w:t>
      </w:r>
    </w:p>
    <w:p w14:paraId="0EC020D6" w14:textId="76CE8920" w:rsidR="00A13061" w:rsidRPr="00DC11A0" w:rsidRDefault="00A13061" w:rsidP="0081042B">
      <w:pPr>
        <w:numPr>
          <w:ilvl w:val="0"/>
          <w:numId w:val="3"/>
        </w:numPr>
        <w:spacing w:after="0"/>
        <w:rPr>
          <w:bCs/>
        </w:rPr>
      </w:pPr>
      <w:r w:rsidRPr="00DC11A0">
        <w:rPr>
          <w:bCs/>
        </w:rPr>
        <w:t>Hawaii: $</w:t>
      </w:r>
      <w:r w:rsidR="00DC11A0">
        <w:rPr>
          <w:bCs/>
        </w:rPr>
        <w:t>3.0</w:t>
      </w:r>
      <w:r w:rsidR="00F92A95">
        <w:rPr>
          <w:bCs/>
        </w:rPr>
        <w:t>8</w:t>
      </w:r>
    </w:p>
    <w:p w14:paraId="7BB86B35" w14:textId="77777777" w:rsidR="00A13061" w:rsidRPr="00DC11A0" w:rsidRDefault="00A13061" w:rsidP="0081042B">
      <w:pPr>
        <w:spacing w:after="0"/>
        <w:rPr>
          <w:bCs/>
        </w:rPr>
      </w:pPr>
      <w:r w:rsidRPr="00DC11A0">
        <w:rPr>
          <w:bCs/>
        </w:rPr>
        <w:t>Snacks:</w:t>
      </w:r>
    </w:p>
    <w:p w14:paraId="6CF5DCAB" w14:textId="2E52D3AE" w:rsidR="00A13061" w:rsidRPr="00DC11A0" w:rsidRDefault="00A13061" w:rsidP="0081042B">
      <w:pPr>
        <w:numPr>
          <w:ilvl w:val="0"/>
          <w:numId w:val="4"/>
        </w:numPr>
        <w:spacing w:after="0"/>
        <w:rPr>
          <w:bCs/>
        </w:rPr>
      </w:pPr>
      <w:r w:rsidRPr="00DC11A0">
        <w:rPr>
          <w:bCs/>
        </w:rPr>
        <w:t>States other than Alaska and Hawaii:</w:t>
      </w:r>
      <w:r w:rsidRPr="00DC11A0" w:rsidDel="00D13367">
        <w:rPr>
          <w:bCs/>
        </w:rPr>
        <w:t xml:space="preserve"> </w:t>
      </w:r>
      <w:r w:rsidRPr="00DC11A0">
        <w:rPr>
          <w:bCs/>
        </w:rPr>
        <w:t>$0.7</w:t>
      </w:r>
      <w:r w:rsidR="00DC11A0">
        <w:rPr>
          <w:bCs/>
        </w:rPr>
        <w:t>8</w:t>
      </w:r>
    </w:p>
    <w:p w14:paraId="2F1F753F" w14:textId="0F1106F8" w:rsidR="00A13061" w:rsidRPr="00DC11A0" w:rsidRDefault="00A13061" w:rsidP="0081042B">
      <w:pPr>
        <w:numPr>
          <w:ilvl w:val="0"/>
          <w:numId w:val="4"/>
        </w:numPr>
        <w:spacing w:after="0"/>
        <w:rPr>
          <w:bCs/>
        </w:rPr>
      </w:pPr>
      <w:r w:rsidRPr="00DC11A0">
        <w:rPr>
          <w:bCs/>
        </w:rPr>
        <w:t>Alaska: $1.2</w:t>
      </w:r>
      <w:r w:rsidR="00F92A95">
        <w:rPr>
          <w:bCs/>
        </w:rPr>
        <w:t>7</w:t>
      </w:r>
    </w:p>
    <w:p w14:paraId="64E1C5BB" w14:textId="37CB9068" w:rsidR="00A13061" w:rsidRPr="00DC11A0" w:rsidRDefault="00A13061" w:rsidP="0081042B">
      <w:pPr>
        <w:numPr>
          <w:ilvl w:val="0"/>
          <w:numId w:val="4"/>
        </w:numPr>
        <w:spacing w:after="0"/>
        <w:rPr>
          <w:bCs/>
        </w:rPr>
      </w:pPr>
      <w:r w:rsidRPr="00DC11A0">
        <w:rPr>
          <w:bCs/>
        </w:rPr>
        <w:t>Hawaii: $0.</w:t>
      </w:r>
      <w:r w:rsidR="00DC11A0">
        <w:rPr>
          <w:bCs/>
        </w:rPr>
        <w:t>91</w:t>
      </w:r>
    </w:p>
    <w:p w14:paraId="603033C8" w14:textId="77777777" w:rsidR="008809E3" w:rsidRDefault="008809E3" w:rsidP="0081042B">
      <w:pPr>
        <w:pStyle w:val="Heading2"/>
        <w:spacing w:before="0" w:after="0"/>
      </w:pPr>
    </w:p>
    <w:p w14:paraId="446B7A97" w14:textId="42B977A8" w:rsidR="00A13061" w:rsidRDefault="00A13061" w:rsidP="0081042B">
      <w:pPr>
        <w:pStyle w:val="Heading2"/>
        <w:spacing w:before="0" w:after="0"/>
      </w:pPr>
      <w:r>
        <w:t>Chapter 23</w:t>
      </w:r>
      <w:r w:rsidDel="00D13367">
        <w:t>—</w:t>
      </w:r>
      <w:r>
        <w:t>Roundup of Tax Credits</w:t>
      </w:r>
    </w:p>
    <w:p w14:paraId="2A86DC32" w14:textId="77777777" w:rsidR="00C97C96" w:rsidRDefault="00F41112" w:rsidP="0081042B">
      <w:pPr>
        <w:spacing w:after="0"/>
        <w:rPr>
          <w:bCs/>
          <w:iCs/>
        </w:rPr>
      </w:pPr>
      <w:r>
        <w:rPr>
          <w:bCs/>
          <w:iCs/>
        </w:rPr>
        <w:t>Many tax credits expired at the end of 202</w:t>
      </w:r>
      <w:r w:rsidR="00C97C96">
        <w:rPr>
          <w:bCs/>
          <w:iCs/>
        </w:rPr>
        <w:t>1, including:</w:t>
      </w:r>
    </w:p>
    <w:p w14:paraId="07B6E697" w14:textId="77777777" w:rsidR="00C97C96" w:rsidRPr="00F41112" w:rsidRDefault="00C97C96" w:rsidP="00C97C96">
      <w:pPr>
        <w:pStyle w:val="ListParagraph"/>
        <w:numPr>
          <w:ilvl w:val="0"/>
          <w:numId w:val="1"/>
        </w:numPr>
        <w:spacing w:after="0"/>
        <w:rPr>
          <w:bCs/>
        </w:rPr>
      </w:pPr>
      <w:r>
        <w:rPr>
          <w:bCs/>
        </w:rPr>
        <w:t>Credit for qualified fuel cell motor vehicles.</w:t>
      </w:r>
    </w:p>
    <w:p w14:paraId="64EC92C4" w14:textId="77777777" w:rsidR="00C97C96" w:rsidRPr="000217E2" w:rsidRDefault="00A13061" w:rsidP="00C97C96">
      <w:pPr>
        <w:numPr>
          <w:ilvl w:val="0"/>
          <w:numId w:val="1"/>
        </w:numPr>
        <w:spacing w:after="0"/>
      </w:pPr>
      <w:r w:rsidRPr="00F41112">
        <w:rPr>
          <w:b/>
          <w:bCs/>
          <w:i/>
          <w:iCs/>
        </w:rPr>
        <w:t xml:space="preserve"> </w:t>
      </w:r>
      <w:r w:rsidR="00C97C96" w:rsidRPr="00F41112">
        <w:rPr>
          <w:bCs/>
        </w:rPr>
        <w:t>Alternative fuel vehicle refueling property credit.</w:t>
      </w:r>
    </w:p>
    <w:p w14:paraId="69D2D2F1" w14:textId="2A87E659" w:rsidR="00C97C96" w:rsidRPr="00C97C96" w:rsidRDefault="00C97C96" w:rsidP="00C97C96">
      <w:pPr>
        <w:numPr>
          <w:ilvl w:val="0"/>
          <w:numId w:val="1"/>
        </w:numPr>
        <w:spacing w:after="0"/>
      </w:pPr>
      <w:r>
        <w:rPr>
          <w:bCs/>
        </w:rPr>
        <w:t>Credit for 2-wheeled plug-in electric drive vehicles</w:t>
      </w:r>
    </w:p>
    <w:p w14:paraId="3A9C9C74" w14:textId="70DC9FDC" w:rsidR="00C97C96" w:rsidRPr="00C97C96" w:rsidRDefault="00C97C96" w:rsidP="00DD64AE">
      <w:pPr>
        <w:numPr>
          <w:ilvl w:val="0"/>
          <w:numId w:val="1"/>
        </w:numPr>
        <w:spacing w:after="0"/>
        <w:rPr>
          <w:bCs/>
        </w:rPr>
      </w:pPr>
      <w:r w:rsidRPr="00C97C96">
        <w:rPr>
          <w:rFonts w:eastAsia="Times New Roman"/>
          <w:color w:val="000000"/>
        </w:rPr>
        <w:t>Second generation biofuel producer credit.</w:t>
      </w:r>
    </w:p>
    <w:p w14:paraId="2CCC6DEB" w14:textId="77777777" w:rsidR="00C97C96" w:rsidRPr="00F41112" w:rsidRDefault="00C97C96" w:rsidP="00C97C96">
      <w:pPr>
        <w:numPr>
          <w:ilvl w:val="0"/>
          <w:numId w:val="1"/>
        </w:numPr>
        <w:spacing w:after="0"/>
        <w:rPr>
          <w:rFonts w:eastAsia="Times New Roman"/>
          <w:color w:val="000000"/>
        </w:rPr>
      </w:pPr>
      <w:r w:rsidRPr="00F41112">
        <w:rPr>
          <w:rFonts w:eastAsia="Times New Roman"/>
          <w:color w:val="000000"/>
        </w:rPr>
        <w:t>Production credit for Indian coal facilities.</w:t>
      </w:r>
    </w:p>
    <w:p w14:paraId="68BE3F95" w14:textId="52CB2969" w:rsidR="00C97C96" w:rsidRDefault="00C97C96" w:rsidP="00C97C96">
      <w:pPr>
        <w:pStyle w:val="ListParagraph"/>
        <w:numPr>
          <w:ilvl w:val="0"/>
          <w:numId w:val="1"/>
        </w:numPr>
        <w:spacing w:after="0"/>
        <w:rPr>
          <w:bCs/>
        </w:rPr>
      </w:pPr>
      <w:r w:rsidRPr="00F41112">
        <w:rPr>
          <w:bCs/>
        </w:rPr>
        <w:t xml:space="preserve">Energy-efficient home credit. </w:t>
      </w:r>
    </w:p>
    <w:p w14:paraId="669D3CD1" w14:textId="1E0B4F3D" w:rsidR="00C97C96" w:rsidRPr="00184990" w:rsidRDefault="00C97C96" w:rsidP="00E839DE">
      <w:pPr>
        <w:pStyle w:val="ListParagraph"/>
        <w:numPr>
          <w:ilvl w:val="0"/>
          <w:numId w:val="1"/>
        </w:numPr>
        <w:spacing w:after="0"/>
        <w:rPr>
          <w:b/>
          <w:bCs/>
          <w:i/>
          <w:iCs/>
        </w:rPr>
      </w:pPr>
      <w:r w:rsidRPr="00184990">
        <w:rPr>
          <w:bCs/>
        </w:rPr>
        <w:t>Mine rescue team training credit</w:t>
      </w:r>
      <w:r w:rsidR="00184990" w:rsidRPr="00184990">
        <w:rPr>
          <w:bCs/>
        </w:rPr>
        <w:t>.</w:t>
      </w:r>
    </w:p>
    <w:p w14:paraId="7745AEAF" w14:textId="430749B0" w:rsidR="000217E2" w:rsidRDefault="0061709F" w:rsidP="0061709F">
      <w:pPr>
        <w:spacing w:after="0"/>
        <w:ind w:firstLine="360"/>
        <w:rPr>
          <w:rFonts w:eastAsia="Times New Roman"/>
          <w:color w:val="000000"/>
        </w:rPr>
      </w:pPr>
      <w:r>
        <w:rPr>
          <w:rFonts w:eastAsia="Times New Roman"/>
          <w:color w:val="000000"/>
        </w:rPr>
        <w:t>Watch for legislation that may extend retroactively or make permanent these and other tax credits.</w:t>
      </w:r>
    </w:p>
    <w:p w14:paraId="21F09DCE" w14:textId="26E2A1D5" w:rsidR="0061709F" w:rsidRDefault="0061709F" w:rsidP="00F92A95">
      <w:pPr>
        <w:spacing w:after="0"/>
        <w:ind w:firstLine="720"/>
        <w:rPr>
          <w:rFonts w:eastAsia="Times New Roman"/>
          <w:color w:val="000000"/>
        </w:rPr>
      </w:pPr>
    </w:p>
    <w:p w14:paraId="5F67327B" w14:textId="77777777" w:rsidR="0061709F" w:rsidRPr="00F41112" w:rsidRDefault="0061709F" w:rsidP="00F92A95">
      <w:pPr>
        <w:spacing w:after="0"/>
        <w:ind w:firstLine="720"/>
        <w:rPr>
          <w:rFonts w:eastAsia="Times New Roman"/>
          <w:color w:val="000000"/>
        </w:rPr>
      </w:pPr>
    </w:p>
    <w:p w14:paraId="715AB2B1" w14:textId="77777777" w:rsidR="00587702" w:rsidRPr="00587702" w:rsidRDefault="00F92A95" w:rsidP="00587702">
      <w:pPr>
        <w:spacing w:after="0"/>
        <w:rPr>
          <w:bCs/>
          <w:iCs/>
        </w:rPr>
      </w:pPr>
      <w:r>
        <w:rPr>
          <w:b/>
          <w:i/>
        </w:rPr>
        <w:t xml:space="preserve">Research credit. </w:t>
      </w:r>
      <w:r>
        <w:rPr>
          <w:bCs/>
          <w:iCs/>
        </w:rPr>
        <w:t xml:space="preserve">When submitting a claim for refund, it won’t be valid unless certain </w:t>
      </w:r>
      <w:r w:rsidRPr="00587702">
        <w:rPr>
          <w:bCs/>
          <w:iCs/>
        </w:rPr>
        <w:t>information is included</w:t>
      </w:r>
      <w:r w:rsidR="00587702" w:rsidRPr="00587702">
        <w:rPr>
          <w:bCs/>
          <w:iCs/>
        </w:rPr>
        <w:t>:</w:t>
      </w:r>
    </w:p>
    <w:p w14:paraId="436823EC" w14:textId="77777777" w:rsidR="00587702" w:rsidRPr="00587702" w:rsidRDefault="00587702" w:rsidP="00587702">
      <w:pPr>
        <w:numPr>
          <w:ilvl w:val="0"/>
          <w:numId w:val="32"/>
        </w:numPr>
        <w:shd w:val="clear" w:color="auto" w:fill="FFFFFF"/>
        <w:spacing w:after="0"/>
        <w:rPr>
          <w:rFonts w:eastAsia="Times New Roman"/>
        </w:rPr>
      </w:pPr>
      <w:r w:rsidRPr="00587702">
        <w:rPr>
          <w:rFonts w:eastAsia="Times New Roman"/>
        </w:rPr>
        <w:t>Identify all the business components to which the Section 41 research credit claim relates for that year.</w:t>
      </w:r>
    </w:p>
    <w:p w14:paraId="0D36F013" w14:textId="77777777" w:rsidR="00587702" w:rsidRPr="00587702" w:rsidRDefault="00587702" w:rsidP="00587702">
      <w:pPr>
        <w:numPr>
          <w:ilvl w:val="0"/>
          <w:numId w:val="32"/>
        </w:numPr>
        <w:shd w:val="clear" w:color="auto" w:fill="FFFFFF"/>
        <w:spacing w:after="0"/>
        <w:rPr>
          <w:rFonts w:eastAsia="Times New Roman"/>
        </w:rPr>
      </w:pPr>
      <w:r w:rsidRPr="00587702">
        <w:rPr>
          <w:rFonts w:eastAsia="Times New Roman"/>
        </w:rPr>
        <w:t xml:space="preserve">For each business component, identify all research activities performed and name the individuals who performed each research activity, as well as the information </w:t>
      </w:r>
      <w:proofErr w:type="gramStart"/>
      <w:r w:rsidRPr="00587702">
        <w:rPr>
          <w:rFonts w:eastAsia="Times New Roman"/>
        </w:rPr>
        <w:t>each individual</w:t>
      </w:r>
      <w:proofErr w:type="gramEnd"/>
      <w:r w:rsidRPr="00587702">
        <w:rPr>
          <w:rFonts w:eastAsia="Times New Roman"/>
        </w:rPr>
        <w:t xml:space="preserve"> sought to discover.</w:t>
      </w:r>
    </w:p>
    <w:p w14:paraId="134628F7" w14:textId="36CDC02D" w:rsidR="00184990" w:rsidRPr="00184990" w:rsidRDefault="00587702" w:rsidP="00B46292">
      <w:pPr>
        <w:numPr>
          <w:ilvl w:val="0"/>
          <w:numId w:val="32"/>
        </w:numPr>
        <w:shd w:val="clear" w:color="auto" w:fill="FFFFFF"/>
        <w:spacing w:after="0"/>
        <w:rPr>
          <w:rFonts w:eastAsia="Times New Roman"/>
        </w:rPr>
      </w:pPr>
      <w:r w:rsidRPr="00184990">
        <w:rPr>
          <w:rFonts w:eastAsia="Times New Roman"/>
        </w:rPr>
        <w:lastRenderedPageBreak/>
        <w:t>Provide the total qualified employee wage expenses, total qualified supply expenses, and total qualified contract research expenses for the claim year. This may be done using Form 6765.</w:t>
      </w:r>
    </w:p>
    <w:p w14:paraId="23953E4C" w14:textId="77777777" w:rsidR="00184990" w:rsidRPr="00587702" w:rsidRDefault="00184990" w:rsidP="00184990">
      <w:pPr>
        <w:shd w:val="clear" w:color="auto" w:fill="FFFFFF"/>
        <w:spacing w:after="0"/>
        <w:rPr>
          <w:rFonts w:eastAsia="Times New Roman"/>
        </w:rPr>
      </w:pPr>
    </w:p>
    <w:p w14:paraId="01052486" w14:textId="3CE58DB7" w:rsidR="008809E3" w:rsidRPr="00F92A95" w:rsidRDefault="00587702" w:rsidP="00587702">
      <w:pPr>
        <w:spacing w:after="0"/>
        <w:ind w:firstLine="360"/>
        <w:rPr>
          <w:bCs/>
          <w:iCs/>
        </w:rPr>
      </w:pPr>
      <w:r>
        <w:rPr>
          <w:bCs/>
          <w:iCs/>
        </w:rPr>
        <w:t xml:space="preserve">This requirement applies for claims submitted after January 10, 2022. However, there’s a one-year transition period during which you have 30-days to perfect a research credit refund claim (i.e., submit the necessary information), </w:t>
      </w:r>
      <w:proofErr w:type="gramStart"/>
      <w:r>
        <w:rPr>
          <w:bCs/>
          <w:iCs/>
        </w:rPr>
        <w:t>as long as</w:t>
      </w:r>
      <w:proofErr w:type="gramEnd"/>
      <w:r>
        <w:rPr>
          <w:bCs/>
          <w:iCs/>
        </w:rPr>
        <w:t xml:space="preserve"> this occurs before an IRS final determination.</w:t>
      </w:r>
    </w:p>
    <w:p w14:paraId="641E73D5" w14:textId="7F4EB13B" w:rsidR="00F92A95" w:rsidRDefault="00F92A95" w:rsidP="0081042B">
      <w:pPr>
        <w:spacing w:after="0"/>
        <w:rPr>
          <w:bCs/>
          <w:iCs/>
        </w:rPr>
      </w:pPr>
    </w:p>
    <w:p w14:paraId="08F21222" w14:textId="378424C8" w:rsidR="00F92A95" w:rsidRPr="00184990" w:rsidRDefault="00184990" w:rsidP="0081042B">
      <w:pPr>
        <w:spacing w:after="0"/>
        <w:rPr>
          <w:bCs/>
          <w:iCs/>
        </w:rPr>
      </w:pPr>
      <w:r>
        <w:rPr>
          <w:b/>
          <w:i/>
        </w:rPr>
        <w:t xml:space="preserve">Employee retention credit. </w:t>
      </w:r>
      <w:r>
        <w:rPr>
          <w:bCs/>
          <w:iCs/>
        </w:rPr>
        <w:t xml:space="preserve">This employment tax credit was supposed to run through December 31, 2021. The Infrastructure Investment and Jobs Act retroactively terminated </w:t>
      </w:r>
      <w:r w:rsidR="0061709F">
        <w:rPr>
          <w:bCs/>
          <w:iCs/>
        </w:rPr>
        <w:t>the credit</w:t>
      </w:r>
      <w:r>
        <w:rPr>
          <w:bCs/>
          <w:iCs/>
        </w:rPr>
        <w:t xml:space="preserve"> on September 30, 2021, except for qualified start-up businesses that have the credit through the end of 2021. There is IRS guidance on this credit in </w:t>
      </w:r>
      <w:hyperlink r:id="rId14" w:history="1">
        <w:r w:rsidRPr="00184990">
          <w:rPr>
            <w:rStyle w:val="Hyperlink"/>
            <w:bCs/>
            <w:iCs/>
          </w:rPr>
          <w:t>Notice 2021-49</w:t>
        </w:r>
      </w:hyperlink>
      <w:r>
        <w:rPr>
          <w:bCs/>
          <w:iCs/>
        </w:rPr>
        <w:t xml:space="preserve"> and Notice </w:t>
      </w:r>
      <w:hyperlink r:id="rId15" w:history="1">
        <w:r w:rsidRPr="00184990">
          <w:rPr>
            <w:rStyle w:val="Hyperlink"/>
            <w:bCs/>
            <w:iCs/>
          </w:rPr>
          <w:t>2021-65</w:t>
        </w:r>
      </w:hyperlink>
      <w:r>
        <w:rPr>
          <w:bCs/>
          <w:iCs/>
        </w:rPr>
        <w:t xml:space="preserve">.  </w:t>
      </w:r>
    </w:p>
    <w:p w14:paraId="05F8B0A6" w14:textId="77777777" w:rsidR="00184990" w:rsidRPr="00184990" w:rsidRDefault="00184990" w:rsidP="0081042B">
      <w:pPr>
        <w:spacing w:after="0"/>
        <w:rPr>
          <w:bCs/>
          <w:iCs/>
        </w:rPr>
      </w:pPr>
    </w:p>
    <w:p w14:paraId="0261E8FC" w14:textId="343F71FF" w:rsidR="00546C1E" w:rsidRDefault="00546C1E" w:rsidP="0081042B">
      <w:pPr>
        <w:spacing w:after="0"/>
        <w:rPr>
          <w:rFonts w:ascii="Georgia" w:hAnsi="Georgia"/>
          <w:b/>
          <w:i/>
          <w:sz w:val="30"/>
        </w:rPr>
      </w:pPr>
      <w:r>
        <w:rPr>
          <w:rFonts w:ascii="Georgia" w:hAnsi="Georgia"/>
          <w:b/>
          <w:i/>
          <w:sz w:val="30"/>
        </w:rPr>
        <w:t>Chapter 24—Income and Dedu</w:t>
      </w:r>
      <w:r w:rsidR="00570778">
        <w:rPr>
          <w:rFonts w:ascii="Georgia" w:hAnsi="Georgia"/>
          <w:b/>
          <w:i/>
          <w:sz w:val="30"/>
        </w:rPr>
        <w:t xml:space="preserve">ction </w:t>
      </w:r>
      <w:r>
        <w:rPr>
          <w:rFonts w:ascii="Georgia" w:hAnsi="Georgia"/>
          <w:b/>
          <w:i/>
          <w:sz w:val="30"/>
        </w:rPr>
        <w:t xml:space="preserve">Strategies </w:t>
      </w:r>
    </w:p>
    <w:p w14:paraId="3574CF28" w14:textId="23862AB9" w:rsidR="003E0206" w:rsidRDefault="00570778" w:rsidP="0081042B">
      <w:pPr>
        <w:spacing w:after="0"/>
      </w:pPr>
      <w:proofErr w:type="gramStart"/>
      <w:r>
        <w:rPr>
          <w:b/>
          <w:i/>
        </w:rPr>
        <w:t>Meals</w:t>
      </w:r>
      <w:proofErr w:type="gramEnd"/>
      <w:r>
        <w:rPr>
          <w:b/>
          <w:i/>
        </w:rPr>
        <w:t xml:space="preserve"> deduction</w:t>
      </w:r>
      <w:r w:rsidR="00546C1E">
        <w:rPr>
          <w:b/>
          <w:i/>
        </w:rPr>
        <w:t xml:space="preserve">. </w:t>
      </w:r>
      <w:r w:rsidR="00EA1435">
        <w:rPr>
          <w:bCs/>
          <w:iCs/>
        </w:rPr>
        <w:t>For 202</w:t>
      </w:r>
      <w:r w:rsidR="00587702">
        <w:rPr>
          <w:bCs/>
          <w:iCs/>
        </w:rPr>
        <w:t>2</w:t>
      </w:r>
      <w:r w:rsidR="00EA1435">
        <w:rPr>
          <w:bCs/>
          <w:iCs/>
        </w:rPr>
        <w:t xml:space="preserve">, 100% of business meal costs are deductible, </w:t>
      </w:r>
      <w:proofErr w:type="gramStart"/>
      <w:r w:rsidR="00607638">
        <w:rPr>
          <w:bCs/>
          <w:iCs/>
        </w:rPr>
        <w:t>as long as</w:t>
      </w:r>
      <w:proofErr w:type="gramEnd"/>
      <w:r w:rsidR="00EA1435">
        <w:rPr>
          <w:bCs/>
          <w:iCs/>
        </w:rPr>
        <w:t xml:space="preserve"> the meals are provided at restaurants. </w:t>
      </w:r>
      <w:r w:rsidR="00173065">
        <w:rPr>
          <w:bCs/>
          <w:iCs/>
        </w:rPr>
        <w:t xml:space="preserve">This percentage </w:t>
      </w:r>
      <w:r w:rsidR="00541AAE">
        <w:rPr>
          <w:bCs/>
          <w:iCs/>
        </w:rPr>
        <w:t xml:space="preserve">also </w:t>
      </w:r>
      <w:r w:rsidR="00173065">
        <w:rPr>
          <w:bCs/>
          <w:iCs/>
        </w:rPr>
        <w:t xml:space="preserve">applies to the meals portion of per diem rates used by employers to substantiate cost. </w:t>
      </w:r>
      <w:r w:rsidR="00EA1435">
        <w:rPr>
          <w:bCs/>
          <w:iCs/>
        </w:rPr>
        <w:t xml:space="preserve">See Chapter </w:t>
      </w:r>
      <w:r w:rsidR="00EA1435">
        <w:t>8 above.</w:t>
      </w:r>
    </w:p>
    <w:p w14:paraId="477CA563" w14:textId="77777777" w:rsidR="008809E3" w:rsidRDefault="008809E3" w:rsidP="0081042B">
      <w:pPr>
        <w:pStyle w:val="Heading2"/>
        <w:spacing w:before="0" w:after="0"/>
      </w:pPr>
    </w:p>
    <w:p w14:paraId="216D9643" w14:textId="2C30ADDD" w:rsidR="00A13061" w:rsidRDefault="00A13061" w:rsidP="0081042B">
      <w:pPr>
        <w:pStyle w:val="Heading2"/>
        <w:spacing w:before="0" w:after="0"/>
      </w:pPr>
      <w:r>
        <w:t>Chapter 2</w:t>
      </w:r>
      <w:r w:rsidR="00A66B2B">
        <w:t>6</w:t>
      </w:r>
      <w:r>
        <w:t>—Strategies for Opening or Closing a Business</w:t>
      </w:r>
    </w:p>
    <w:p w14:paraId="51645633" w14:textId="578E4AD6" w:rsidR="008809E3" w:rsidRPr="001270F1" w:rsidRDefault="00A13061" w:rsidP="0081042B">
      <w:pPr>
        <w:spacing w:after="0"/>
        <w:rPr>
          <w:b/>
          <w:i/>
          <w:color w:val="FF0000"/>
        </w:rPr>
      </w:pPr>
      <w:r>
        <w:rPr>
          <w:b/>
          <w:i/>
        </w:rPr>
        <w:t xml:space="preserve">Shareholder basis in stock. </w:t>
      </w:r>
      <w:r w:rsidR="00587702">
        <w:t xml:space="preserve">New Form 7203, </w:t>
      </w:r>
      <w:r w:rsidR="00587702">
        <w:rPr>
          <w:i/>
          <w:iCs/>
        </w:rPr>
        <w:t>S</w:t>
      </w:r>
      <w:r w:rsidR="001B7608">
        <w:rPr>
          <w:i/>
          <w:iCs/>
        </w:rPr>
        <w:t xml:space="preserve"> Corporation, S</w:t>
      </w:r>
      <w:r w:rsidR="00587702">
        <w:rPr>
          <w:i/>
          <w:iCs/>
        </w:rPr>
        <w:t xml:space="preserve">hareholder </w:t>
      </w:r>
      <w:r w:rsidR="001B7608">
        <w:rPr>
          <w:i/>
          <w:iCs/>
        </w:rPr>
        <w:t>Stock and Debt Basis Limitation</w:t>
      </w:r>
      <w:r w:rsidR="00587702">
        <w:rPr>
          <w:i/>
          <w:iCs/>
        </w:rPr>
        <w:t xml:space="preserve">, </w:t>
      </w:r>
      <w:r w:rsidR="00587702">
        <w:t xml:space="preserve">as the title implies, </w:t>
      </w:r>
      <w:r w:rsidR="00173065">
        <w:t>is</w:t>
      </w:r>
      <w:r w:rsidR="00587702">
        <w:t xml:space="preserve"> used to figure a </w:t>
      </w:r>
      <w:proofErr w:type="gramStart"/>
      <w:r w:rsidR="00587702">
        <w:t>shareholders</w:t>
      </w:r>
      <w:proofErr w:type="gramEnd"/>
      <w:r w:rsidR="00587702">
        <w:t xml:space="preserve"> basis in stock and debt</w:t>
      </w:r>
      <w:r w:rsidR="001B7608">
        <w:t xml:space="preserve"> for purposes of determining how much of a loss that’s passed through may be claimed</w:t>
      </w:r>
      <w:r w:rsidR="00587702">
        <w:t xml:space="preserve">. </w:t>
      </w:r>
    </w:p>
    <w:p w14:paraId="1FE286B4" w14:textId="77777777" w:rsidR="008809E3" w:rsidRDefault="008809E3" w:rsidP="0081042B">
      <w:pPr>
        <w:pStyle w:val="Heading2"/>
        <w:spacing w:before="0" w:after="0"/>
      </w:pPr>
    </w:p>
    <w:p w14:paraId="176B7B07" w14:textId="5BAA6354" w:rsidR="00A66B2B" w:rsidRDefault="00A66B2B" w:rsidP="00A66B2B">
      <w:pPr>
        <w:spacing w:after="0"/>
        <w:rPr>
          <w:rFonts w:ascii="Georgia" w:hAnsi="Georgia"/>
          <w:b/>
          <w:i/>
          <w:sz w:val="30"/>
        </w:rPr>
      </w:pPr>
      <w:r>
        <w:rPr>
          <w:rFonts w:ascii="Georgia" w:hAnsi="Georgia"/>
          <w:b/>
          <w:i/>
          <w:sz w:val="30"/>
        </w:rPr>
        <w:t>Chapter 29—Alternative Minimum Tax</w:t>
      </w:r>
    </w:p>
    <w:p w14:paraId="5D186BB9" w14:textId="5E6A4AC7" w:rsidR="00A66B2B" w:rsidRPr="00FC1F69" w:rsidRDefault="00A66B2B" w:rsidP="00A66B2B">
      <w:pPr>
        <w:rPr>
          <w:bCs/>
        </w:rPr>
      </w:pPr>
      <w:r w:rsidRPr="00FC1F69">
        <w:rPr>
          <w:b/>
          <w:bCs/>
          <w:i/>
        </w:rPr>
        <w:t xml:space="preserve">Exemption amounts. </w:t>
      </w:r>
      <w:r w:rsidRPr="00FC1F69">
        <w:rPr>
          <w:bCs/>
        </w:rPr>
        <w:t>The AMT exemption amounts for 202</w:t>
      </w:r>
      <w:r w:rsidR="001B7608">
        <w:rPr>
          <w:bCs/>
        </w:rPr>
        <w:t>2</w:t>
      </w:r>
      <w:r w:rsidRPr="00FC1F69">
        <w:rPr>
          <w:bCs/>
        </w:rPr>
        <w:t xml:space="preserve"> are:</w:t>
      </w:r>
    </w:p>
    <w:tbl>
      <w:tblPr>
        <w:tblStyle w:val="TableGrid"/>
        <w:tblW w:w="0" w:type="auto"/>
        <w:tblLook w:val="04A0" w:firstRow="1" w:lastRow="0" w:firstColumn="1" w:lastColumn="0" w:noHBand="0" w:noVBand="1"/>
      </w:tblPr>
      <w:tblGrid>
        <w:gridCol w:w="4518"/>
        <w:gridCol w:w="2178"/>
      </w:tblGrid>
      <w:tr w:rsidR="00A66B2B" w:rsidRPr="00FC1F69" w14:paraId="1960277D" w14:textId="77777777" w:rsidTr="00A66B2B">
        <w:tc>
          <w:tcPr>
            <w:tcW w:w="4518" w:type="dxa"/>
          </w:tcPr>
          <w:p w14:paraId="0CE97559" w14:textId="77777777" w:rsidR="00A66B2B" w:rsidRPr="00FC1F69" w:rsidRDefault="00A66B2B" w:rsidP="00A66B2B">
            <w:pPr>
              <w:jc w:val="center"/>
              <w:rPr>
                <w:b/>
                <w:bCs/>
                <w:sz w:val="24"/>
                <w:szCs w:val="24"/>
              </w:rPr>
            </w:pPr>
            <w:r w:rsidRPr="00FC1F69">
              <w:rPr>
                <w:b/>
                <w:bCs/>
                <w:sz w:val="24"/>
                <w:szCs w:val="24"/>
              </w:rPr>
              <w:t>Filing status</w:t>
            </w:r>
          </w:p>
        </w:tc>
        <w:tc>
          <w:tcPr>
            <w:tcW w:w="2178" w:type="dxa"/>
          </w:tcPr>
          <w:p w14:paraId="73478257" w14:textId="20A90F15" w:rsidR="00A66B2B" w:rsidRPr="00FC1F69" w:rsidRDefault="00A66B2B" w:rsidP="00A66B2B">
            <w:pPr>
              <w:jc w:val="center"/>
              <w:rPr>
                <w:b/>
                <w:bCs/>
                <w:sz w:val="24"/>
                <w:szCs w:val="24"/>
              </w:rPr>
            </w:pPr>
            <w:r w:rsidRPr="00FC1F69">
              <w:rPr>
                <w:b/>
                <w:bCs/>
                <w:sz w:val="24"/>
                <w:szCs w:val="24"/>
              </w:rPr>
              <w:t>202</w:t>
            </w:r>
            <w:r w:rsidR="001B7608">
              <w:rPr>
                <w:b/>
                <w:bCs/>
                <w:sz w:val="24"/>
                <w:szCs w:val="24"/>
              </w:rPr>
              <w:t>2</w:t>
            </w:r>
            <w:r w:rsidRPr="00FC1F69">
              <w:rPr>
                <w:b/>
                <w:bCs/>
                <w:sz w:val="24"/>
                <w:szCs w:val="24"/>
              </w:rPr>
              <w:t xml:space="preserve"> exemption</w:t>
            </w:r>
          </w:p>
        </w:tc>
      </w:tr>
      <w:tr w:rsidR="00A66B2B" w:rsidRPr="00FC1F69" w14:paraId="313D43E4" w14:textId="77777777" w:rsidTr="00A66B2B">
        <w:tc>
          <w:tcPr>
            <w:tcW w:w="4518" w:type="dxa"/>
          </w:tcPr>
          <w:p w14:paraId="18D79ED5" w14:textId="77777777" w:rsidR="00A66B2B" w:rsidRPr="00FC1F69" w:rsidRDefault="00A66B2B" w:rsidP="00A66B2B">
            <w:pPr>
              <w:rPr>
                <w:bCs/>
                <w:sz w:val="24"/>
                <w:szCs w:val="24"/>
              </w:rPr>
            </w:pPr>
            <w:r w:rsidRPr="00FC1F69">
              <w:rPr>
                <w:bCs/>
                <w:sz w:val="24"/>
                <w:szCs w:val="24"/>
              </w:rPr>
              <w:t xml:space="preserve">Married filing jointly/surviving spouse </w:t>
            </w:r>
          </w:p>
        </w:tc>
        <w:tc>
          <w:tcPr>
            <w:tcW w:w="2178" w:type="dxa"/>
          </w:tcPr>
          <w:p w14:paraId="22F5229A" w14:textId="15251F73" w:rsidR="00A66B2B" w:rsidRPr="00FC1F69" w:rsidRDefault="00A66B2B" w:rsidP="00A66B2B">
            <w:pPr>
              <w:jc w:val="center"/>
              <w:rPr>
                <w:bCs/>
                <w:sz w:val="24"/>
                <w:szCs w:val="24"/>
              </w:rPr>
            </w:pPr>
            <w:r w:rsidRPr="00FC1F69">
              <w:rPr>
                <w:bCs/>
                <w:sz w:val="24"/>
                <w:szCs w:val="24"/>
              </w:rPr>
              <w:t>$</w:t>
            </w:r>
            <w:r w:rsidR="00B80E37">
              <w:rPr>
                <w:bCs/>
                <w:sz w:val="24"/>
                <w:szCs w:val="24"/>
              </w:rPr>
              <w:t>118,100</w:t>
            </w:r>
          </w:p>
        </w:tc>
      </w:tr>
      <w:tr w:rsidR="00A66B2B" w:rsidRPr="00FC1F69" w14:paraId="179F5FFC" w14:textId="77777777" w:rsidTr="00A66B2B">
        <w:tc>
          <w:tcPr>
            <w:tcW w:w="4518" w:type="dxa"/>
          </w:tcPr>
          <w:p w14:paraId="1662426B" w14:textId="77777777" w:rsidR="00A66B2B" w:rsidRPr="00FC1F69" w:rsidRDefault="00A66B2B" w:rsidP="00A66B2B">
            <w:pPr>
              <w:rPr>
                <w:bCs/>
                <w:sz w:val="24"/>
                <w:szCs w:val="24"/>
              </w:rPr>
            </w:pPr>
            <w:r w:rsidRPr="00FC1F69">
              <w:rPr>
                <w:bCs/>
                <w:sz w:val="24"/>
                <w:szCs w:val="24"/>
              </w:rPr>
              <w:t>Single/head of household</w:t>
            </w:r>
          </w:p>
        </w:tc>
        <w:tc>
          <w:tcPr>
            <w:tcW w:w="2178" w:type="dxa"/>
          </w:tcPr>
          <w:p w14:paraId="529ACC60" w14:textId="375D3923" w:rsidR="00A66B2B" w:rsidRPr="00FC1F69" w:rsidRDefault="00A66B2B" w:rsidP="00A66B2B">
            <w:pPr>
              <w:jc w:val="center"/>
              <w:rPr>
                <w:bCs/>
                <w:sz w:val="24"/>
                <w:szCs w:val="24"/>
              </w:rPr>
            </w:pPr>
            <w:r w:rsidRPr="00FC1F69">
              <w:rPr>
                <w:bCs/>
                <w:sz w:val="24"/>
                <w:szCs w:val="24"/>
              </w:rPr>
              <w:t>$</w:t>
            </w:r>
            <w:r w:rsidR="00B80E37">
              <w:rPr>
                <w:bCs/>
                <w:sz w:val="24"/>
                <w:szCs w:val="24"/>
              </w:rPr>
              <w:t>75,900</w:t>
            </w:r>
          </w:p>
        </w:tc>
      </w:tr>
      <w:tr w:rsidR="00A66B2B" w:rsidRPr="00FC1F69" w14:paraId="3C5852D8" w14:textId="77777777" w:rsidTr="00A66B2B">
        <w:tc>
          <w:tcPr>
            <w:tcW w:w="4518" w:type="dxa"/>
          </w:tcPr>
          <w:p w14:paraId="5832099B" w14:textId="77777777" w:rsidR="00A66B2B" w:rsidRPr="00FC1F69" w:rsidRDefault="00A66B2B" w:rsidP="00A66B2B">
            <w:pPr>
              <w:rPr>
                <w:bCs/>
                <w:sz w:val="24"/>
                <w:szCs w:val="24"/>
              </w:rPr>
            </w:pPr>
            <w:r w:rsidRPr="00FC1F69">
              <w:rPr>
                <w:bCs/>
                <w:sz w:val="24"/>
                <w:szCs w:val="24"/>
              </w:rPr>
              <w:t>Married filing separately</w:t>
            </w:r>
          </w:p>
        </w:tc>
        <w:tc>
          <w:tcPr>
            <w:tcW w:w="2178" w:type="dxa"/>
          </w:tcPr>
          <w:p w14:paraId="12A76EF4" w14:textId="57DDBEFA" w:rsidR="00A66B2B" w:rsidRPr="00FC1F69" w:rsidRDefault="00A66B2B" w:rsidP="00A66B2B">
            <w:pPr>
              <w:jc w:val="center"/>
              <w:rPr>
                <w:bCs/>
                <w:sz w:val="24"/>
                <w:szCs w:val="24"/>
              </w:rPr>
            </w:pPr>
            <w:r w:rsidRPr="00FC1F69">
              <w:rPr>
                <w:bCs/>
                <w:sz w:val="24"/>
                <w:szCs w:val="24"/>
              </w:rPr>
              <w:t>$</w:t>
            </w:r>
            <w:r w:rsidR="00B80E37">
              <w:rPr>
                <w:bCs/>
                <w:sz w:val="24"/>
                <w:szCs w:val="24"/>
              </w:rPr>
              <w:t>59,050</w:t>
            </w:r>
          </w:p>
        </w:tc>
      </w:tr>
    </w:tbl>
    <w:p w14:paraId="236EF7E5" w14:textId="77777777" w:rsidR="00A66B2B" w:rsidRPr="00FC1F69" w:rsidRDefault="00A66B2B" w:rsidP="00A66B2B">
      <w:pPr>
        <w:rPr>
          <w:bCs/>
          <w:i/>
        </w:rPr>
      </w:pPr>
    </w:p>
    <w:p w14:paraId="7328D458" w14:textId="51CBBA0F" w:rsidR="00A66B2B" w:rsidRPr="00FC1F69" w:rsidRDefault="00A66B2B" w:rsidP="00A66B2B">
      <w:pPr>
        <w:ind w:firstLine="720"/>
        <w:rPr>
          <w:bCs/>
        </w:rPr>
      </w:pPr>
      <w:r w:rsidRPr="00FC1F69">
        <w:rPr>
          <w:bCs/>
          <w:i/>
        </w:rPr>
        <w:t xml:space="preserve">Exemption phase-out. </w:t>
      </w:r>
      <w:r w:rsidRPr="00FC1F69">
        <w:rPr>
          <w:bCs/>
        </w:rPr>
        <w:t>The exemption amounts for 202</w:t>
      </w:r>
      <w:r w:rsidR="00B80E37">
        <w:rPr>
          <w:bCs/>
        </w:rPr>
        <w:t>2</w:t>
      </w:r>
      <w:r w:rsidRPr="00FC1F69">
        <w:rPr>
          <w:bCs/>
        </w:rPr>
        <w:t xml:space="preserve"> start to phase out when alternative minimum taxable income (AMTI) exceeds $1,</w:t>
      </w:r>
      <w:r w:rsidR="00B80E37">
        <w:rPr>
          <w:bCs/>
        </w:rPr>
        <w:t>079,800</w:t>
      </w:r>
      <w:r w:rsidRPr="00FC1F69">
        <w:rPr>
          <w:bCs/>
        </w:rPr>
        <w:t xml:space="preserve"> for married filing jointly and surviving spouses and $</w:t>
      </w:r>
      <w:r w:rsidR="00B80E37">
        <w:rPr>
          <w:bCs/>
        </w:rPr>
        <w:t>539,900</w:t>
      </w:r>
      <w:r w:rsidRPr="00FC1F69">
        <w:rPr>
          <w:bCs/>
        </w:rPr>
        <w:t xml:space="preserve"> for other filers. </w:t>
      </w:r>
    </w:p>
    <w:p w14:paraId="46110EA4" w14:textId="77777777" w:rsidR="00A66B2B" w:rsidRDefault="00A66B2B" w:rsidP="0081042B">
      <w:pPr>
        <w:spacing w:after="0"/>
        <w:rPr>
          <w:rFonts w:ascii="Georgia" w:hAnsi="Georgia"/>
          <w:b/>
          <w:i/>
          <w:sz w:val="30"/>
        </w:rPr>
      </w:pPr>
    </w:p>
    <w:p w14:paraId="20FC9588" w14:textId="676840E3" w:rsidR="00A13061" w:rsidRPr="00A65758" w:rsidRDefault="00A13061" w:rsidP="0081042B">
      <w:pPr>
        <w:spacing w:after="0"/>
        <w:rPr>
          <w:rFonts w:ascii="Georgia" w:hAnsi="Georgia"/>
          <w:b/>
          <w:i/>
          <w:sz w:val="30"/>
        </w:rPr>
      </w:pPr>
      <w:r w:rsidRPr="00A65758">
        <w:rPr>
          <w:rFonts w:ascii="Georgia" w:hAnsi="Georgia"/>
          <w:b/>
          <w:i/>
          <w:sz w:val="30"/>
        </w:rPr>
        <w:t xml:space="preserve">Chapter </w:t>
      </w:r>
      <w:r w:rsidR="00304A4C">
        <w:rPr>
          <w:rFonts w:ascii="Georgia" w:hAnsi="Georgia"/>
          <w:b/>
          <w:i/>
          <w:sz w:val="30"/>
        </w:rPr>
        <w:t>30</w:t>
      </w:r>
      <w:r w:rsidRPr="00A65758">
        <w:rPr>
          <w:rFonts w:ascii="Georgia" w:hAnsi="Georgia"/>
          <w:b/>
          <w:i/>
          <w:sz w:val="30"/>
        </w:rPr>
        <w:t>—Other Taxes</w:t>
      </w:r>
    </w:p>
    <w:p w14:paraId="50E0E2D2" w14:textId="58F1BB8B" w:rsidR="00A13061" w:rsidRPr="00532EE7" w:rsidRDefault="00A13061" w:rsidP="0081042B">
      <w:pPr>
        <w:spacing w:after="0"/>
      </w:pPr>
      <w:r>
        <w:rPr>
          <w:b/>
          <w:i/>
        </w:rPr>
        <w:t xml:space="preserve">State income taxes. </w:t>
      </w:r>
      <w:r>
        <w:t xml:space="preserve">There have been some tax changes for businesses at the state and local levels. </w:t>
      </w:r>
      <w:r w:rsidR="00DA2960">
        <w:t>For example, effective January 1, 2022, there is a 2% cut in the corporate tax rate in Oklahoma</w:t>
      </w:r>
      <w:r w:rsidR="00EA57D2">
        <w:t>. Check with state tax departments in all locations in which you do business</w:t>
      </w:r>
      <w:r w:rsidR="00607638">
        <w:t xml:space="preserve"> to learn if there have been any tax changes impacting your business</w:t>
      </w:r>
      <w:r>
        <w:t>.</w:t>
      </w:r>
    </w:p>
    <w:p w14:paraId="12570459" w14:textId="77777777" w:rsidR="008809E3" w:rsidRDefault="008809E3" w:rsidP="0081042B">
      <w:pPr>
        <w:spacing w:after="0"/>
        <w:rPr>
          <w:b/>
          <w:i/>
        </w:rPr>
      </w:pPr>
    </w:p>
    <w:p w14:paraId="63730335" w14:textId="34418343" w:rsidR="00F51E6F" w:rsidRDefault="00A13061" w:rsidP="0081042B">
      <w:pPr>
        <w:spacing w:after="0"/>
      </w:pPr>
      <w:r>
        <w:rPr>
          <w:b/>
          <w:i/>
        </w:rPr>
        <w:t xml:space="preserve">Employment and self-employment taxes. </w:t>
      </w:r>
      <w:r>
        <w:t>The 202</w:t>
      </w:r>
      <w:r w:rsidR="00B80E37">
        <w:t>2</w:t>
      </w:r>
      <w:r>
        <w:t xml:space="preserve"> wage base limit for the Social Security tax portion of FICA and self-employment tax is $</w:t>
      </w:r>
      <w:r w:rsidR="00B80E37">
        <w:t>147,000</w:t>
      </w:r>
      <w:r>
        <w:t xml:space="preserve"> (up from $</w:t>
      </w:r>
      <w:r w:rsidR="00B80E37">
        <w:t>142,800</w:t>
      </w:r>
      <w:r>
        <w:t xml:space="preserve"> in 20</w:t>
      </w:r>
      <w:r w:rsidR="00EA57D2">
        <w:t>2</w:t>
      </w:r>
      <w:r w:rsidR="00B80E37">
        <w:t>1</w:t>
      </w:r>
      <w:r>
        <w:t>).</w:t>
      </w:r>
    </w:p>
    <w:p w14:paraId="5055806C" w14:textId="49D53EED" w:rsidR="007A30F8" w:rsidRDefault="007A30F8" w:rsidP="0081042B">
      <w:pPr>
        <w:spacing w:after="0"/>
      </w:pPr>
      <w:r>
        <w:tab/>
      </w:r>
      <w:bookmarkStart w:id="6" w:name="_Hlk93222708"/>
      <w:r>
        <w:t xml:space="preserve">The </w:t>
      </w:r>
      <w:hyperlink r:id="rId16" w:history="1">
        <w:r w:rsidRPr="00EA1944">
          <w:rPr>
            <w:rStyle w:val="Hyperlink"/>
          </w:rPr>
          <w:t>IRS has provided guidance</w:t>
        </w:r>
      </w:hyperlink>
      <w:r>
        <w:t xml:space="preserve"> on when net rental income for short-term rentals (e.g., 7 days) is subject to self-employment tax. If substantial services are provided, then net rental income is subject to self-employment tax. The </w:t>
      </w:r>
      <w:r w:rsidR="00EE4576">
        <w:t>fact that a 7-day rental is not a rental activity for purposes of the passive activity loss rules does not control for purposes of self-employment tax.</w:t>
      </w:r>
    </w:p>
    <w:p w14:paraId="03A1C676" w14:textId="5AD00107" w:rsidR="00EA1944" w:rsidRDefault="00EA1944" w:rsidP="0081042B">
      <w:pPr>
        <w:spacing w:after="0"/>
      </w:pPr>
      <w:r>
        <w:tab/>
        <w:t xml:space="preserve">The </w:t>
      </w:r>
      <w:hyperlink r:id="rId17" w:history="1">
        <w:r w:rsidRPr="00EA1944">
          <w:rPr>
            <w:rStyle w:val="Hyperlink"/>
          </w:rPr>
          <w:t>IRS has provided guidance</w:t>
        </w:r>
      </w:hyperlink>
      <w:r>
        <w:t xml:space="preserve"> on </w:t>
      </w:r>
      <w:r w:rsidR="00FD7246">
        <w:t>challenging in Tax Court an IRS Notice of Employment Tax Determination that a worker should be treated as an employee and, if so, that Sec. 530 relief for employment tax purposes does not apply. The Tax Court will have jurisdiction over the matter if these conditions are met:</w:t>
      </w:r>
    </w:p>
    <w:p w14:paraId="40AA8A62" w14:textId="0C8EB05B" w:rsidR="00FD7246" w:rsidRDefault="00FD7246" w:rsidP="00FD7246">
      <w:pPr>
        <w:pStyle w:val="ListParagraph"/>
        <w:numPr>
          <w:ilvl w:val="0"/>
          <w:numId w:val="33"/>
        </w:numPr>
        <w:spacing w:after="0"/>
      </w:pPr>
      <w:r>
        <w:t xml:space="preserve">The IRS conducts an examination in connection with an audit of a </w:t>
      </w:r>
      <w:proofErr w:type="gramStart"/>
      <w:r>
        <w:t>business;</w:t>
      </w:r>
      <w:proofErr w:type="gramEnd"/>
      <w:r>
        <w:t xml:space="preserve"> </w:t>
      </w:r>
    </w:p>
    <w:p w14:paraId="38E599E2" w14:textId="42C73185" w:rsidR="00FD7246" w:rsidRDefault="00FD7246" w:rsidP="00FD7246">
      <w:pPr>
        <w:pStyle w:val="ListParagraph"/>
        <w:numPr>
          <w:ilvl w:val="0"/>
          <w:numId w:val="33"/>
        </w:numPr>
        <w:spacing w:after="0"/>
      </w:pPr>
      <w:r>
        <w:t xml:space="preserve">As part of the audit, the IRS determines that – (a) one or more </w:t>
      </w:r>
      <w:proofErr w:type="gramStart"/>
      <w:r>
        <w:t>individuals</w:t>
      </w:r>
      <w:proofErr w:type="gramEnd"/>
      <w:r>
        <w:t xml:space="preserve"> performing services for the business are employees of the </w:t>
      </w:r>
      <w:r w:rsidR="00FF3799">
        <w:t>business</w:t>
      </w:r>
      <w:r>
        <w:t xml:space="preserve"> for purposes of worker reclassification, or (b) the business is not entitled Section 530 relief; </w:t>
      </w:r>
    </w:p>
    <w:p w14:paraId="32372FDD" w14:textId="44FB9DF1" w:rsidR="00FD7246" w:rsidRDefault="00FD7246" w:rsidP="00FD7246">
      <w:pPr>
        <w:pStyle w:val="ListParagraph"/>
        <w:numPr>
          <w:ilvl w:val="0"/>
          <w:numId w:val="33"/>
        </w:numPr>
        <w:spacing w:after="0"/>
      </w:pPr>
      <w:r>
        <w:t>There is an “actual controversy” involving the determination as part of an examination (the worker wasn’t treated as an employee, the IRS said he/she should have been, and there’s no agreement on this matter during the audit); and</w:t>
      </w:r>
    </w:p>
    <w:p w14:paraId="2440361D" w14:textId="4F7905A8" w:rsidR="00FD7246" w:rsidRDefault="00FD7246" w:rsidP="00FD7246">
      <w:pPr>
        <w:pStyle w:val="ListParagraph"/>
        <w:numPr>
          <w:ilvl w:val="0"/>
          <w:numId w:val="33"/>
        </w:numPr>
        <w:spacing w:after="0"/>
      </w:pPr>
      <w:r>
        <w:t>The person for whom the services at issue were performed files an appropriate pleading in the Tax Court.</w:t>
      </w:r>
    </w:p>
    <w:bookmarkEnd w:id="6"/>
    <w:p w14:paraId="712640E7" w14:textId="0ACDB4FE" w:rsidR="008809E3" w:rsidRDefault="00F51E6F" w:rsidP="0081042B">
      <w:pPr>
        <w:spacing w:after="0"/>
        <w:rPr>
          <w:b/>
          <w:i/>
        </w:rPr>
      </w:pPr>
      <w:r>
        <w:tab/>
      </w:r>
    </w:p>
    <w:p w14:paraId="2F3B9AA0" w14:textId="2D40136A" w:rsidR="00A13061" w:rsidRDefault="00A13061" w:rsidP="0081042B">
      <w:pPr>
        <w:spacing w:after="0"/>
      </w:pPr>
      <w:r>
        <w:rPr>
          <w:b/>
          <w:i/>
        </w:rPr>
        <w:t xml:space="preserve">Sales taxes. </w:t>
      </w:r>
      <w:proofErr w:type="gramStart"/>
      <w:r>
        <w:t>A number of</w:t>
      </w:r>
      <w:proofErr w:type="gramEnd"/>
      <w:r>
        <w:t xml:space="preserve"> states have changes in sales tax rules for 202</w:t>
      </w:r>
      <w:r w:rsidR="00B80E37">
        <w:t>2</w:t>
      </w:r>
      <w:r w:rsidR="00EA1435">
        <w:t>. Check with your state finance/revenue/tax division.</w:t>
      </w:r>
    </w:p>
    <w:p w14:paraId="1155680B" w14:textId="2B5DD9E0" w:rsidR="00A13061" w:rsidRDefault="00A13061" w:rsidP="0081042B">
      <w:pPr>
        <w:spacing w:after="0"/>
        <w:ind w:firstLine="360"/>
      </w:pPr>
      <w:r>
        <w:t xml:space="preserve">Congress has not yet enacted a bar to states retroactively imposing sales tax on remote sellers. </w:t>
      </w:r>
      <w:r w:rsidR="00607638">
        <w:t>Congress</w:t>
      </w:r>
      <w:r>
        <w:t xml:space="preserve"> has not enacted any requirement for states to have uniform sales tax rules for remote sellers.</w:t>
      </w:r>
    </w:p>
    <w:p w14:paraId="6039E718" w14:textId="77777777" w:rsidR="008809E3" w:rsidRDefault="008809E3" w:rsidP="0081042B">
      <w:pPr>
        <w:spacing w:after="0"/>
        <w:rPr>
          <w:rFonts w:ascii="Georgia" w:hAnsi="Georgia"/>
          <w:b/>
          <w:i/>
          <w:sz w:val="30"/>
        </w:rPr>
      </w:pPr>
    </w:p>
    <w:p w14:paraId="55E5A826" w14:textId="746D20C8" w:rsidR="00A13061" w:rsidRPr="00A65758" w:rsidRDefault="00A13061" w:rsidP="0081042B">
      <w:pPr>
        <w:spacing w:after="0"/>
        <w:rPr>
          <w:rFonts w:ascii="Georgia" w:hAnsi="Georgia"/>
          <w:b/>
          <w:i/>
          <w:sz w:val="30"/>
        </w:rPr>
      </w:pPr>
      <w:r w:rsidRPr="00A65758">
        <w:rPr>
          <w:rFonts w:ascii="Georgia" w:hAnsi="Georgia"/>
          <w:b/>
          <w:i/>
          <w:sz w:val="30"/>
        </w:rPr>
        <w:t xml:space="preserve">Chapter </w:t>
      </w:r>
      <w:r>
        <w:rPr>
          <w:rFonts w:ascii="Georgia" w:hAnsi="Georgia"/>
          <w:b/>
          <w:i/>
          <w:sz w:val="30"/>
        </w:rPr>
        <w:t>3</w:t>
      </w:r>
      <w:r w:rsidR="00304A4C">
        <w:rPr>
          <w:rFonts w:ascii="Georgia" w:hAnsi="Georgia"/>
          <w:b/>
          <w:i/>
          <w:sz w:val="30"/>
        </w:rPr>
        <w:t>1</w:t>
      </w:r>
      <w:r w:rsidRPr="00A65758">
        <w:rPr>
          <w:rFonts w:ascii="Georgia" w:hAnsi="Georgia"/>
          <w:b/>
          <w:i/>
          <w:sz w:val="30"/>
        </w:rPr>
        <w:t>—</w:t>
      </w:r>
      <w:r>
        <w:rPr>
          <w:rFonts w:ascii="Georgia" w:hAnsi="Georgia"/>
          <w:b/>
          <w:i/>
          <w:sz w:val="30"/>
        </w:rPr>
        <w:t>Filing Tax Returns</w:t>
      </w:r>
      <w:r w:rsidR="00FA53AF">
        <w:rPr>
          <w:rFonts w:ascii="Georgia" w:hAnsi="Georgia"/>
          <w:b/>
          <w:i/>
          <w:sz w:val="30"/>
        </w:rPr>
        <w:t xml:space="preserve">, </w:t>
      </w:r>
      <w:r>
        <w:rPr>
          <w:rFonts w:ascii="Georgia" w:hAnsi="Georgia"/>
          <w:b/>
          <w:i/>
          <w:sz w:val="30"/>
        </w:rPr>
        <w:t>Paying Taxes</w:t>
      </w:r>
      <w:r w:rsidR="00FA53AF">
        <w:rPr>
          <w:rFonts w:ascii="Georgia" w:hAnsi="Georgia"/>
          <w:b/>
          <w:i/>
          <w:sz w:val="30"/>
        </w:rPr>
        <w:t>, and Making Refund Claims</w:t>
      </w:r>
    </w:p>
    <w:p w14:paraId="77F3C9A5" w14:textId="42C6D1BC" w:rsidR="00A66B2B" w:rsidRPr="00EE5E23" w:rsidRDefault="00A66B2B" w:rsidP="0081042B">
      <w:pPr>
        <w:spacing w:after="0"/>
      </w:pPr>
      <w:r>
        <w:rPr>
          <w:b/>
          <w:bCs/>
          <w:i/>
          <w:iCs/>
        </w:rPr>
        <w:t xml:space="preserve">Filing extensions. </w:t>
      </w:r>
      <w:r w:rsidR="00EE5E23">
        <w:t xml:space="preserve">There is an automatic 60-day extension for owners and businesses within a disaster area. Regulations clarify that the IRS still has authority to provide even greater extensions. Monitor the </w:t>
      </w:r>
      <w:hyperlink r:id="rId18" w:history="1">
        <w:r w:rsidR="00EE5E23" w:rsidRPr="007C5EA4">
          <w:rPr>
            <w:rStyle w:val="Hyperlink"/>
          </w:rPr>
          <w:t>IRS webpage</w:t>
        </w:r>
      </w:hyperlink>
      <w:r w:rsidR="00EE5E23">
        <w:t xml:space="preserve"> on tax relief in disaster situations for the </w:t>
      </w:r>
      <w:r w:rsidR="007C5EA4">
        <w:t>extensions related to a specific disaster.</w:t>
      </w:r>
    </w:p>
    <w:p w14:paraId="2DEC2D88" w14:textId="77777777" w:rsidR="00A66B2B" w:rsidRDefault="00A66B2B" w:rsidP="0081042B">
      <w:pPr>
        <w:spacing w:after="0"/>
        <w:rPr>
          <w:b/>
          <w:bCs/>
          <w:i/>
          <w:iCs/>
        </w:rPr>
      </w:pPr>
    </w:p>
    <w:p w14:paraId="410B8EEF" w14:textId="6DE90B07" w:rsidR="00FA53AF" w:rsidRDefault="00FA53AF" w:rsidP="0081042B">
      <w:pPr>
        <w:spacing w:after="0"/>
      </w:pPr>
      <w:r>
        <w:rPr>
          <w:b/>
          <w:bCs/>
          <w:i/>
          <w:iCs/>
        </w:rPr>
        <w:t xml:space="preserve">Paying taxes by credit card. </w:t>
      </w:r>
      <w:proofErr w:type="gramStart"/>
      <w:r>
        <w:t>As yet</w:t>
      </w:r>
      <w:proofErr w:type="gramEnd"/>
      <w:r>
        <w:t>, the IRS does not accept payment directly through a credit card. You still need to go through an IRS-authorized credit card processor.</w:t>
      </w:r>
    </w:p>
    <w:p w14:paraId="2058EC81" w14:textId="0E75C624" w:rsidR="002933CD" w:rsidRDefault="002933CD" w:rsidP="0081042B">
      <w:pPr>
        <w:spacing w:after="0"/>
      </w:pPr>
    </w:p>
    <w:p w14:paraId="41182A02" w14:textId="77777777" w:rsidR="00FA53AF" w:rsidRPr="00FA53AF" w:rsidRDefault="00FA53AF" w:rsidP="0081042B">
      <w:pPr>
        <w:spacing w:after="0"/>
        <w:rPr>
          <w:b/>
          <w:bCs/>
          <w:i/>
          <w:iCs/>
        </w:rPr>
      </w:pPr>
    </w:p>
    <w:p w14:paraId="4FC3A3FA" w14:textId="60402CD6" w:rsidR="00A13061" w:rsidRPr="00A65758" w:rsidRDefault="00A13061" w:rsidP="0081042B">
      <w:pPr>
        <w:spacing w:after="0"/>
        <w:rPr>
          <w:rFonts w:ascii="Georgia" w:hAnsi="Georgia"/>
          <w:b/>
          <w:i/>
          <w:sz w:val="30"/>
        </w:rPr>
      </w:pPr>
      <w:r w:rsidRPr="00A65758">
        <w:rPr>
          <w:rFonts w:ascii="Georgia" w:hAnsi="Georgia"/>
          <w:b/>
          <w:i/>
          <w:sz w:val="30"/>
        </w:rPr>
        <w:t xml:space="preserve">Chapter </w:t>
      </w:r>
      <w:r>
        <w:rPr>
          <w:rFonts w:ascii="Georgia" w:hAnsi="Georgia"/>
          <w:b/>
          <w:i/>
          <w:sz w:val="30"/>
        </w:rPr>
        <w:t>3</w:t>
      </w:r>
      <w:r w:rsidR="00A66B2B">
        <w:rPr>
          <w:rFonts w:ascii="Georgia" w:hAnsi="Georgia"/>
          <w:b/>
          <w:i/>
          <w:sz w:val="30"/>
        </w:rPr>
        <w:t>2</w:t>
      </w:r>
      <w:r w:rsidRPr="00A65758">
        <w:rPr>
          <w:rFonts w:ascii="Georgia" w:hAnsi="Georgia"/>
          <w:b/>
          <w:i/>
          <w:sz w:val="30"/>
        </w:rPr>
        <w:t>—</w:t>
      </w:r>
      <w:r>
        <w:rPr>
          <w:rFonts w:ascii="Georgia" w:hAnsi="Georgia"/>
          <w:b/>
          <w:i/>
          <w:sz w:val="30"/>
        </w:rPr>
        <w:t>Retirement and Succession Planning</w:t>
      </w:r>
    </w:p>
    <w:p w14:paraId="24418D69" w14:textId="55E5A2E9" w:rsidR="00A13061" w:rsidRDefault="00AE16AC" w:rsidP="0081042B">
      <w:pPr>
        <w:spacing w:after="0"/>
      </w:pPr>
      <w:r>
        <w:rPr>
          <w:b/>
          <w:bCs/>
          <w:i/>
          <w:iCs/>
        </w:rPr>
        <w:t>202</w:t>
      </w:r>
      <w:r w:rsidR="00ED001C">
        <w:rPr>
          <w:b/>
          <w:bCs/>
          <w:i/>
          <w:iCs/>
        </w:rPr>
        <w:t>2</w:t>
      </w:r>
      <w:r>
        <w:rPr>
          <w:b/>
          <w:bCs/>
          <w:i/>
          <w:iCs/>
        </w:rPr>
        <w:t xml:space="preserve"> limits on earnings for those working while receiving Social Security benefits</w:t>
      </w:r>
      <w:r w:rsidR="00A13061">
        <w:rPr>
          <w:b/>
          <w:bCs/>
          <w:i/>
          <w:iCs/>
        </w:rPr>
        <w:t xml:space="preserve">. </w:t>
      </w:r>
      <w:r>
        <w:t>There is no limit on those who have attained full retirement age. For those who receive benefits and are under full retirement age, the earnings limit in 202</w:t>
      </w:r>
      <w:r w:rsidR="00ED001C">
        <w:t>2</w:t>
      </w:r>
      <w:r>
        <w:t xml:space="preserve"> is $1,</w:t>
      </w:r>
      <w:r w:rsidR="00426A9F">
        <w:t>63</w:t>
      </w:r>
      <w:r>
        <w:t xml:space="preserve">0 </w:t>
      </w:r>
      <w:r w:rsidR="00526E10">
        <w:t xml:space="preserve">per month </w:t>
      </w:r>
      <w:r>
        <w:t>($</w:t>
      </w:r>
      <w:r w:rsidR="00426A9F">
        <w:t>19,560</w:t>
      </w:r>
      <w:r>
        <w:t xml:space="preserve"> for the year)</w:t>
      </w:r>
      <w:r w:rsidR="00A13061">
        <w:t>.</w:t>
      </w:r>
    </w:p>
    <w:p w14:paraId="4C664624" w14:textId="77777777" w:rsidR="0099551A" w:rsidRPr="00AE16AC" w:rsidRDefault="0099551A" w:rsidP="0081042B">
      <w:pPr>
        <w:autoSpaceDE w:val="0"/>
        <w:autoSpaceDN w:val="0"/>
        <w:adjustRightInd w:val="0"/>
        <w:spacing w:after="0"/>
        <w:ind w:firstLine="720"/>
        <w:rPr>
          <w:rFonts w:eastAsiaTheme="minorHAnsi"/>
        </w:rPr>
      </w:pPr>
      <w:r w:rsidRPr="00AE16AC">
        <w:rPr>
          <w:rFonts w:eastAsiaTheme="minorHAnsi"/>
        </w:rPr>
        <w:lastRenderedPageBreak/>
        <w:t>If earnings</w:t>
      </w:r>
      <w:r>
        <w:rPr>
          <w:rFonts w:eastAsiaTheme="minorHAnsi"/>
        </w:rPr>
        <w:t xml:space="preserve"> </w:t>
      </w:r>
      <w:r w:rsidRPr="00AE16AC">
        <w:rPr>
          <w:rFonts w:eastAsiaTheme="minorHAnsi"/>
        </w:rPr>
        <w:t xml:space="preserve">exceed this limit, then benefits are reduced by $1 for each </w:t>
      </w:r>
      <w:r>
        <w:rPr>
          <w:rFonts w:eastAsiaTheme="minorHAnsi"/>
        </w:rPr>
        <w:t>$</w:t>
      </w:r>
      <w:r w:rsidRPr="00AE16AC">
        <w:rPr>
          <w:rFonts w:eastAsiaTheme="minorHAnsi"/>
        </w:rPr>
        <w:t>2 of excess</w:t>
      </w:r>
      <w:r>
        <w:rPr>
          <w:rFonts w:eastAsiaTheme="minorHAnsi"/>
        </w:rPr>
        <w:t xml:space="preserve"> </w:t>
      </w:r>
      <w:r w:rsidRPr="00AE16AC">
        <w:rPr>
          <w:rFonts w:eastAsiaTheme="minorHAnsi"/>
        </w:rPr>
        <w:t>earnings. For the year in which you reach full retirement age, the earnings</w:t>
      </w:r>
    </w:p>
    <w:p w14:paraId="0A9DABF2" w14:textId="4B50BEC3" w:rsidR="0099551A" w:rsidRDefault="0099551A" w:rsidP="0081042B">
      <w:pPr>
        <w:autoSpaceDE w:val="0"/>
        <w:autoSpaceDN w:val="0"/>
        <w:adjustRightInd w:val="0"/>
        <w:spacing w:after="0"/>
        <w:rPr>
          <w:rFonts w:eastAsiaTheme="minorHAnsi"/>
        </w:rPr>
      </w:pPr>
      <w:r w:rsidRPr="00AE16AC">
        <w:rPr>
          <w:rFonts w:eastAsiaTheme="minorHAnsi"/>
        </w:rPr>
        <w:t>limit is $4,</w:t>
      </w:r>
      <w:r w:rsidR="00426A9F">
        <w:rPr>
          <w:rFonts w:eastAsiaTheme="minorHAnsi"/>
        </w:rPr>
        <w:t>33</w:t>
      </w:r>
      <w:r>
        <w:rPr>
          <w:rFonts w:eastAsiaTheme="minorHAnsi"/>
        </w:rPr>
        <w:t>0</w:t>
      </w:r>
      <w:r w:rsidRPr="00AE16AC">
        <w:rPr>
          <w:rFonts w:eastAsiaTheme="minorHAnsi"/>
        </w:rPr>
        <w:t xml:space="preserve"> per month ($</w:t>
      </w:r>
      <w:r w:rsidR="00426A9F">
        <w:rPr>
          <w:rFonts w:eastAsiaTheme="minorHAnsi"/>
        </w:rPr>
        <w:t>51,960</w:t>
      </w:r>
      <w:r w:rsidRPr="00AE16AC">
        <w:rPr>
          <w:rFonts w:eastAsiaTheme="minorHAnsi"/>
        </w:rPr>
        <w:t xml:space="preserve"> for the year). If earnings for the month</w:t>
      </w:r>
      <w:r w:rsidR="00E84150">
        <w:rPr>
          <w:rFonts w:eastAsiaTheme="minorHAnsi"/>
        </w:rPr>
        <w:t>s</w:t>
      </w:r>
      <w:r>
        <w:rPr>
          <w:rFonts w:eastAsiaTheme="minorHAnsi"/>
        </w:rPr>
        <w:t xml:space="preserve"> </w:t>
      </w:r>
      <w:r w:rsidRPr="00AE16AC">
        <w:rPr>
          <w:rFonts w:eastAsiaTheme="minorHAnsi"/>
        </w:rPr>
        <w:t>prior to attaining full retirement age exceed the limit, benefits are reduced</w:t>
      </w:r>
      <w:r>
        <w:rPr>
          <w:rFonts w:eastAsiaTheme="minorHAnsi"/>
        </w:rPr>
        <w:t xml:space="preserve"> </w:t>
      </w:r>
      <w:r w:rsidRPr="00AE16AC">
        <w:rPr>
          <w:rFonts w:eastAsiaTheme="minorHAnsi"/>
        </w:rPr>
        <w:t>by $1 for each $3 of excess earnings</w:t>
      </w:r>
      <w:r>
        <w:rPr>
          <w:rFonts w:eastAsiaTheme="minorHAnsi"/>
        </w:rPr>
        <w:t>.</w:t>
      </w:r>
    </w:p>
    <w:p w14:paraId="612DF7B3" w14:textId="77777777" w:rsidR="00FA53AF" w:rsidRDefault="00FA53AF" w:rsidP="0081042B">
      <w:pPr>
        <w:spacing w:after="0"/>
        <w:rPr>
          <w:rFonts w:ascii="Georgia" w:hAnsi="Georgia"/>
          <w:b/>
          <w:i/>
          <w:sz w:val="30"/>
        </w:rPr>
      </w:pPr>
    </w:p>
    <w:p w14:paraId="01DAB044" w14:textId="70B89CCF" w:rsidR="00A13061" w:rsidRDefault="00A13061" w:rsidP="0081042B">
      <w:pPr>
        <w:spacing w:after="0"/>
        <w:rPr>
          <w:rFonts w:ascii="Georgia" w:hAnsi="Georgia"/>
          <w:b/>
          <w:i/>
          <w:sz w:val="30"/>
        </w:rPr>
      </w:pPr>
      <w:r w:rsidRPr="00A65758">
        <w:rPr>
          <w:rFonts w:ascii="Georgia" w:hAnsi="Georgia"/>
          <w:b/>
          <w:i/>
          <w:sz w:val="30"/>
        </w:rPr>
        <w:t xml:space="preserve">Chapter </w:t>
      </w:r>
      <w:r>
        <w:rPr>
          <w:rFonts w:ascii="Georgia" w:hAnsi="Georgia"/>
          <w:b/>
          <w:i/>
          <w:sz w:val="30"/>
        </w:rPr>
        <w:t>3</w:t>
      </w:r>
      <w:r w:rsidR="00A66B2B">
        <w:rPr>
          <w:rFonts w:ascii="Georgia" w:hAnsi="Georgia"/>
          <w:b/>
          <w:i/>
          <w:sz w:val="30"/>
        </w:rPr>
        <w:t>3</w:t>
      </w:r>
      <w:r w:rsidRPr="00A65758">
        <w:rPr>
          <w:rFonts w:ascii="Georgia" w:hAnsi="Georgia"/>
          <w:b/>
          <w:i/>
          <w:sz w:val="30"/>
        </w:rPr>
        <w:t>—</w:t>
      </w:r>
      <w:r>
        <w:rPr>
          <w:rFonts w:ascii="Georgia" w:hAnsi="Georgia"/>
          <w:b/>
          <w:i/>
          <w:sz w:val="30"/>
        </w:rPr>
        <w:t>Working with CPAs and Other Tax Professionals</w:t>
      </w:r>
    </w:p>
    <w:p w14:paraId="56FB9343" w14:textId="3B9C4627" w:rsidR="0099551A" w:rsidRDefault="00A13061" w:rsidP="0081042B">
      <w:pPr>
        <w:autoSpaceDE w:val="0"/>
        <w:autoSpaceDN w:val="0"/>
        <w:adjustRightInd w:val="0"/>
        <w:spacing w:after="0"/>
      </w:pPr>
      <w:r>
        <w:rPr>
          <w:b/>
          <w:bCs/>
          <w:i/>
          <w:iCs/>
        </w:rPr>
        <w:t xml:space="preserve">PTINs. </w:t>
      </w:r>
      <w:r w:rsidR="00FA53AF">
        <w:t>The</w:t>
      </w:r>
      <w:r>
        <w:t xml:space="preserve"> fee charged by the IRS for a tax preparer to obtain a PTIN for the 202</w:t>
      </w:r>
      <w:r w:rsidR="00426A9F">
        <w:t>2</w:t>
      </w:r>
      <w:r>
        <w:t xml:space="preserve"> tax season</w:t>
      </w:r>
      <w:r w:rsidR="00FA53AF">
        <w:t xml:space="preserve"> is $3</w:t>
      </w:r>
      <w:r w:rsidR="0099551A">
        <w:t>5</w:t>
      </w:r>
      <w:r w:rsidR="00FA53AF">
        <w:t>.95</w:t>
      </w:r>
      <w:r w:rsidR="00426A9F">
        <w:t xml:space="preserve"> (unchanged from the prior year)</w:t>
      </w:r>
      <w:r>
        <w:t>.</w:t>
      </w:r>
      <w:r w:rsidR="00AE16AC">
        <w:t xml:space="preserve"> </w:t>
      </w:r>
      <w:r w:rsidR="00B8030B">
        <w:t>It is nonrefundable.</w:t>
      </w:r>
    </w:p>
    <w:p w14:paraId="10774547" w14:textId="243764A0" w:rsidR="0099551A" w:rsidRDefault="0099551A" w:rsidP="0081042B">
      <w:pPr>
        <w:autoSpaceDE w:val="0"/>
        <w:autoSpaceDN w:val="0"/>
        <w:adjustRightInd w:val="0"/>
        <w:spacing w:after="0"/>
      </w:pPr>
    </w:p>
    <w:p w14:paraId="12AF8591" w14:textId="77777777" w:rsidR="00A13061" w:rsidRPr="00A65758" w:rsidRDefault="00A13061" w:rsidP="0081042B">
      <w:pPr>
        <w:spacing w:after="0"/>
        <w:rPr>
          <w:rFonts w:ascii="Georgia" w:hAnsi="Georgia"/>
          <w:b/>
          <w:i/>
          <w:sz w:val="30"/>
        </w:rPr>
      </w:pPr>
      <w:r>
        <w:rPr>
          <w:rFonts w:ascii="Georgia" w:hAnsi="Georgia"/>
          <w:b/>
          <w:i/>
          <w:sz w:val="30"/>
        </w:rPr>
        <w:t>Appendix A</w:t>
      </w:r>
      <w:r w:rsidRPr="00A65758">
        <w:rPr>
          <w:rFonts w:ascii="Georgia" w:hAnsi="Georgia"/>
          <w:b/>
          <w:i/>
          <w:sz w:val="30"/>
        </w:rPr>
        <w:t>—</w:t>
      </w:r>
      <w:r>
        <w:rPr>
          <w:rFonts w:ascii="Georgia" w:hAnsi="Georgia"/>
          <w:b/>
          <w:i/>
          <w:sz w:val="30"/>
        </w:rPr>
        <w:t>Information Returns</w:t>
      </w:r>
    </w:p>
    <w:p w14:paraId="72A3CA63" w14:textId="6113332F" w:rsidR="00A13061" w:rsidRDefault="00426A9F" w:rsidP="0081042B">
      <w:pPr>
        <w:spacing w:after="0"/>
        <w:rPr>
          <w:bCs/>
          <w:iCs/>
        </w:rPr>
      </w:pPr>
      <w:r>
        <w:rPr>
          <w:b/>
          <w:i/>
        </w:rPr>
        <w:t>Merchant transactions</w:t>
      </w:r>
      <w:r w:rsidR="00A13061">
        <w:rPr>
          <w:b/>
          <w:i/>
        </w:rPr>
        <w:t xml:space="preserve">. </w:t>
      </w:r>
      <w:r w:rsidR="00B8030B">
        <w:rPr>
          <w:bCs/>
          <w:iCs/>
        </w:rPr>
        <w:t>For purposes of Form 1099-K, the</w:t>
      </w:r>
      <w:r>
        <w:rPr>
          <w:bCs/>
          <w:iCs/>
        </w:rPr>
        <w:t xml:space="preserve"> threshold for processors to report merchant transactions by credit card, debit card, or electronic transfer is $600 in transactions in the aggregate in 2022. The number of transactions does not affect this reporting requirement.</w:t>
      </w:r>
    </w:p>
    <w:p w14:paraId="30D6D05F" w14:textId="77777777" w:rsidR="008809E3" w:rsidRDefault="008809E3" w:rsidP="0081042B">
      <w:pPr>
        <w:spacing w:after="0"/>
        <w:rPr>
          <w:rFonts w:ascii="Georgia" w:hAnsi="Georgia"/>
          <w:b/>
          <w:i/>
          <w:sz w:val="30"/>
        </w:rPr>
      </w:pPr>
    </w:p>
    <w:p w14:paraId="1C8A3FE4" w14:textId="0BE6D06E" w:rsidR="00A13061" w:rsidRPr="00A65758" w:rsidRDefault="00A13061" w:rsidP="0081042B">
      <w:pPr>
        <w:spacing w:after="0"/>
        <w:rPr>
          <w:rFonts w:ascii="Georgia" w:hAnsi="Georgia"/>
          <w:b/>
          <w:i/>
          <w:sz w:val="30"/>
        </w:rPr>
      </w:pPr>
      <w:r>
        <w:rPr>
          <w:rFonts w:ascii="Georgia" w:hAnsi="Georgia"/>
          <w:b/>
          <w:i/>
          <w:sz w:val="30"/>
        </w:rPr>
        <w:t>Appendix B</w:t>
      </w:r>
      <w:r w:rsidRPr="00A65758">
        <w:rPr>
          <w:rFonts w:ascii="Georgia" w:hAnsi="Georgia"/>
          <w:b/>
          <w:i/>
          <w:sz w:val="30"/>
        </w:rPr>
        <w:t>—</w:t>
      </w:r>
      <w:r>
        <w:rPr>
          <w:rFonts w:ascii="Georgia" w:hAnsi="Georgia"/>
          <w:b/>
          <w:i/>
          <w:sz w:val="30"/>
        </w:rPr>
        <w:t>Tax Penalties</w:t>
      </w:r>
    </w:p>
    <w:p w14:paraId="7EC1C413" w14:textId="6A14E0EC" w:rsidR="00A13061" w:rsidRDefault="00A13061" w:rsidP="0081042B">
      <w:pPr>
        <w:spacing w:after="0"/>
        <w:rPr>
          <w:b/>
          <w:i/>
        </w:rPr>
      </w:pPr>
      <w:r>
        <w:t>The following penalties apply to 20</w:t>
      </w:r>
      <w:r w:rsidR="00AE16AC">
        <w:t>2</w:t>
      </w:r>
      <w:r w:rsidR="00426A9F">
        <w:t>2</w:t>
      </w:r>
      <w:r>
        <w:t xml:space="preserve"> returns required to be filed in 202</w:t>
      </w:r>
      <w:r w:rsidR="00426A9F">
        <w:t>3</w:t>
      </w:r>
      <w:r>
        <w:t>:</w:t>
      </w:r>
    </w:p>
    <w:p w14:paraId="1880071B" w14:textId="77777777" w:rsidR="008809E3" w:rsidRDefault="008809E3" w:rsidP="0081042B">
      <w:pPr>
        <w:spacing w:after="0"/>
        <w:rPr>
          <w:b/>
          <w:i/>
        </w:rPr>
      </w:pPr>
    </w:p>
    <w:p w14:paraId="6A8BFA38" w14:textId="2F8516DD" w:rsidR="00A13061" w:rsidRDefault="00A13061" w:rsidP="0081042B">
      <w:pPr>
        <w:spacing w:after="0"/>
      </w:pPr>
      <w:r>
        <w:rPr>
          <w:b/>
          <w:i/>
        </w:rPr>
        <w:t xml:space="preserve">Failure to file a tax return. </w:t>
      </w:r>
      <w:r>
        <w:t>The penalty is</w:t>
      </w:r>
      <w:r w:rsidR="00E84150">
        <w:t xml:space="preserve"> the lesser of</w:t>
      </w:r>
      <w:r>
        <w:t xml:space="preserve"> $4</w:t>
      </w:r>
      <w:r w:rsidR="006D6F43">
        <w:t>50</w:t>
      </w:r>
      <w:r>
        <w:t xml:space="preserve"> or 100% of the amount required to be shown on the return.</w:t>
      </w:r>
    </w:p>
    <w:p w14:paraId="66AACA87" w14:textId="77777777" w:rsidR="008809E3" w:rsidRDefault="008809E3" w:rsidP="0081042B">
      <w:pPr>
        <w:spacing w:after="0"/>
        <w:rPr>
          <w:b/>
          <w:i/>
        </w:rPr>
      </w:pPr>
    </w:p>
    <w:p w14:paraId="170B3726" w14:textId="72CE2D7C" w:rsidR="00A13061" w:rsidRDefault="00A13061" w:rsidP="0081042B">
      <w:pPr>
        <w:spacing w:after="0"/>
      </w:pPr>
      <w:r>
        <w:rPr>
          <w:b/>
          <w:i/>
        </w:rPr>
        <w:t xml:space="preserve">Failure of a partnership to file a return. </w:t>
      </w:r>
      <w:r>
        <w:t>The penalty is $2</w:t>
      </w:r>
      <w:r w:rsidR="006D6F43">
        <w:t>2</w:t>
      </w:r>
      <w:r w:rsidR="00AE16AC">
        <w:t>0</w:t>
      </w:r>
      <w:r>
        <w:t>. The penalty is per month (or part-month) that the return is late, up to a maximum of 12 months, and is multiplied by the number of partners during any part of the year.</w:t>
      </w:r>
    </w:p>
    <w:p w14:paraId="244F6980" w14:textId="1A854F77" w:rsidR="00A13061" w:rsidRPr="00E95FDE" w:rsidRDefault="00A13061" w:rsidP="0081042B">
      <w:pPr>
        <w:spacing w:after="0"/>
        <w:ind w:firstLine="720"/>
      </w:pPr>
      <w:r>
        <w:t>The penalty for a failure to furnish a Schedule K-1 is $2</w:t>
      </w:r>
      <w:r w:rsidR="006D6F43">
        <w:t>9</w:t>
      </w:r>
      <w:r>
        <w:t>0 for each failure, up to a maximum of $3,</w:t>
      </w:r>
      <w:r w:rsidR="006D6F43">
        <w:t>532</w:t>
      </w:r>
      <w:r w:rsidR="00A05CFC">
        <w:t>,</w:t>
      </w:r>
      <w:r w:rsidR="006D6F43">
        <w:t>5</w:t>
      </w:r>
      <w:r w:rsidR="00A05CFC">
        <w:t>00</w:t>
      </w:r>
      <w:r>
        <w:t xml:space="preserve"> ($1,</w:t>
      </w:r>
      <w:r w:rsidR="006D6F43">
        <w:t>177</w:t>
      </w:r>
      <w:r>
        <w:t>,</w:t>
      </w:r>
      <w:r w:rsidR="006D6F43">
        <w:t>5</w:t>
      </w:r>
      <w:r>
        <w:t>00 for businesses with average annual gross receipts in the 3 most recent years of $5 million or less). The penalty is increased to $5</w:t>
      </w:r>
      <w:r w:rsidR="006D6F43">
        <w:t>8</w:t>
      </w:r>
      <w:r>
        <w:t xml:space="preserve">0, or, if greater, 10% of the aggregate </w:t>
      </w:r>
      <w:proofErr w:type="gramStart"/>
      <w:r>
        <w:t>amount</w:t>
      </w:r>
      <w:proofErr w:type="gramEnd"/>
      <w:r>
        <w:t xml:space="preserve"> of items required to be reported, if the failure is due to intentional disregard</w:t>
      </w:r>
      <w:r w:rsidR="00526E10">
        <w:t xml:space="preserve"> of the reporting requirement</w:t>
      </w:r>
      <w:r w:rsidR="00A05CFC">
        <w:t>; there is no maximum annual limit</w:t>
      </w:r>
      <w:r>
        <w:t>.</w:t>
      </w:r>
    </w:p>
    <w:p w14:paraId="3503849B" w14:textId="77777777" w:rsidR="008809E3" w:rsidRDefault="008809E3" w:rsidP="0081042B">
      <w:pPr>
        <w:spacing w:after="0"/>
        <w:rPr>
          <w:b/>
          <w:i/>
        </w:rPr>
      </w:pPr>
    </w:p>
    <w:p w14:paraId="158F0BED" w14:textId="2E532A92" w:rsidR="00A13061" w:rsidRDefault="00A13061" w:rsidP="0081042B">
      <w:pPr>
        <w:spacing w:after="0"/>
      </w:pPr>
      <w:r>
        <w:rPr>
          <w:b/>
          <w:i/>
        </w:rPr>
        <w:t xml:space="preserve">Failure of an S corporation to file a return. </w:t>
      </w:r>
      <w:r>
        <w:t>The penalty is $2</w:t>
      </w:r>
      <w:r w:rsidR="006D6F43">
        <w:t>2</w:t>
      </w:r>
      <w:r w:rsidR="00A05CFC">
        <w:t>0</w:t>
      </w:r>
      <w:r>
        <w:t>.</w:t>
      </w:r>
      <w:r w:rsidRPr="00E95FDE">
        <w:t xml:space="preserve"> </w:t>
      </w:r>
      <w:r>
        <w:t>The penalty is per month (or part-month) that the return is late, up to a maximum of 12 months, and is multiplied by the number of shareholders during any part of the year.</w:t>
      </w:r>
    </w:p>
    <w:p w14:paraId="2BC92DF5" w14:textId="473F98C5" w:rsidR="00A13061" w:rsidRPr="00E95FDE" w:rsidRDefault="00A13061" w:rsidP="0081042B">
      <w:pPr>
        <w:spacing w:after="0"/>
        <w:ind w:firstLine="720"/>
      </w:pPr>
      <w:r>
        <w:t>The penalty for a failure to furnish a Schedule K-1 is $2</w:t>
      </w:r>
      <w:r w:rsidR="006D6F43">
        <w:t>9</w:t>
      </w:r>
      <w:r>
        <w:t xml:space="preserve">0 for each failure, up to a maximum of </w:t>
      </w:r>
      <w:r w:rsidR="00A05CFC">
        <w:t>$</w:t>
      </w:r>
      <w:r w:rsidR="006D6F43">
        <w:t xml:space="preserve">3,532,500 ($1,177,500 </w:t>
      </w:r>
      <w:r>
        <w:t>for businesses with average annual gross receipts in the 3 most recent years of $5 million or less). The penalty is increased to $5</w:t>
      </w:r>
      <w:r w:rsidR="006D6F43">
        <w:t>8</w:t>
      </w:r>
      <w:r>
        <w:t xml:space="preserve">0, or, if greater, 10% of the aggregate </w:t>
      </w:r>
      <w:proofErr w:type="gramStart"/>
      <w:r>
        <w:t>amount</w:t>
      </w:r>
      <w:proofErr w:type="gramEnd"/>
      <w:r>
        <w:t xml:space="preserve"> of items required to be reported, if the failure is due to intentional disregard</w:t>
      </w:r>
      <w:r w:rsidR="00A05CFC">
        <w:t>; there is no annual cap</w:t>
      </w:r>
      <w:r>
        <w:t>.</w:t>
      </w:r>
    </w:p>
    <w:p w14:paraId="0525F973" w14:textId="77777777" w:rsidR="008809E3" w:rsidRDefault="008809E3" w:rsidP="0081042B">
      <w:pPr>
        <w:spacing w:after="0"/>
        <w:rPr>
          <w:b/>
          <w:i/>
        </w:rPr>
      </w:pPr>
    </w:p>
    <w:p w14:paraId="5FF4E5F2" w14:textId="6303000E" w:rsidR="00A13061" w:rsidRDefault="00A13061" w:rsidP="0081042B">
      <w:pPr>
        <w:spacing w:after="0"/>
      </w:pPr>
      <w:r w:rsidRPr="007C6634">
        <w:rPr>
          <w:b/>
          <w:i/>
        </w:rPr>
        <w:t xml:space="preserve">Administrative waivers. </w:t>
      </w:r>
      <w:r w:rsidRPr="007C6634">
        <w:t>To date there have been no developments on an SB/SE Division program for self-correcting errors.</w:t>
      </w:r>
    </w:p>
    <w:p w14:paraId="3EBA3E72" w14:textId="77777777" w:rsidR="008809E3" w:rsidRDefault="008809E3" w:rsidP="0081042B">
      <w:pPr>
        <w:spacing w:after="0"/>
        <w:rPr>
          <w:b/>
          <w:bCs/>
          <w:i/>
          <w:iCs/>
        </w:rPr>
      </w:pPr>
    </w:p>
    <w:p w14:paraId="51265BDD" w14:textId="1CDF5485" w:rsidR="00A13061" w:rsidRPr="00E95FDE" w:rsidRDefault="00A13061" w:rsidP="0081042B">
      <w:pPr>
        <w:spacing w:after="0"/>
      </w:pPr>
      <w:r>
        <w:rPr>
          <w:b/>
          <w:bCs/>
          <w:i/>
          <w:iCs/>
        </w:rPr>
        <w:lastRenderedPageBreak/>
        <w:t xml:space="preserve">Self-correct program. </w:t>
      </w:r>
      <w:r>
        <w:t xml:space="preserve">There are </w:t>
      </w:r>
      <w:r w:rsidR="00A05CFC">
        <w:t xml:space="preserve">still </w:t>
      </w:r>
      <w:r>
        <w:t>no additional details on the SB/SE Division’s program to enable small businesses and self-employed individuals to self-correct errors on their tax returns with minimal or no penalties.</w:t>
      </w:r>
      <w:r w:rsidR="00A05CFC">
        <w:t xml:space="preserve"> This proposal has been around for a couple of years with no developments.</w:t>
      </w:r>
    </w:p>
    <w:p w14:paraId="65D62E49" w14:textId="77777777" w:rsidR="008809E3" w:rsidRDefault="008809E3" w:rsidP="0081042B">
      <w:pPr>
        <w:spacing w:after="0"/>
        <w:rPr>
          <w:rFonts w:ascii="Georgia" w:hAnsi="Georgia"/>
          <w:b/>
          <w:i/>
          <w:sz w:val="30"/>
        </w:rPr>
      </w:pPr>
    </w:p>
    <w:p w14:paraId="479F1D27" w14:textId="09FA63E0" w:rsidR="00A13061" w:rsidRPr="00A65758" w:rsidRDefault="00A13061" w:rsidP="0081042B">
      <w:pPr>
        <w:spacing w:after="0"/>
        <w:rPr>
          <w:rFonts w:ascii="Georgia" w:hAnsi="Georgia"/>
          <w:b/>
          <w:i/>
          <w:sz w:val="30"/>
        </w:rPr>
      </w:pPr>
      <w:r>
        <w:rPr>
          <w:rFonts w:ascii="Georgia" w:hAnsi="Georgia"/>
          <w:b/>
          <w:i/>
          <w:sz w:val="30"/>
        </w:rPr>
        <w:t>Appendix D</w:t>
      </w:r>
      <w:r w:rsidRPr="00A65758">
        <w:rPr>
          <w:rFonts w:ascii="Georgia" w:hAnsi="Georgia"/>
          <w:b/>
          <w:i/>
          <w:sz w:val="30"/>
        </w:rPr>
        <w:t>—</w:t>
      </w:r>
      <w:r>
        <w:rPr>
          <w:rFonts w:ascii="Georgia" w:hAnsi="Georgia"/>
          <w:b/>
          <w:i/>
          <w:sz w:val="30"/>
        </w:rPr>
        <w:t>Dollar Limits and Amounts Adjusted for Inflation</w:t>
      </w:r>
    </w:p>
    <w:p w14:paraId="3E2E4247" w14:textId="4CB4BAA2" w:rsidR="00A13061" w:rsidRDefault="00A13061" w:rsidP="0081042B">
      <w:pPr>
        <w:spacing w:after="0"/>
      </w:pPr>
      <w:r>
        <w:rPr>
          <w:b/>
        </w:rPr>
        <w:t xml:space="preserve">Items Adjusted Annually for Inflation. </w:t>
      </w:r>
      <w:r>
        <w:t>The following adjustments apply for 202</w:t>
      </w:r>
      <w:r w:rsidR="006D6F43">
        <w:t>2</w:t>
      </w:r>
      <w:r>
        <w:t xml:space="preserve"> (and do not factor into the preparation of 20</w:t>
      </w:r>
      <w:r w:rsidR="00A73961">
        <w:t>2</w:t>
      </w:r>
      <w:r w:rsidR="006D6F43">
        <w:t>1</w:t>
      </w:r>
      <w:r>
        <w:t xml:space="preserve"> returns). </w:t>
      </w:r>
    </w:p>
    <w:p w14:paraId="4C68AB59" w14:textId="77777777" w:rsidR="00DA2960" w:rsidRPr="00EE014F" w:rsidRDefault="00DA2960" w:rsidP="0081042B">
      <w:pPr>
        <w:spacing w:after="0"/>
      </w:pPr>
    </w:p>
    <w:p w14:paraId="0FB160DB" w14:textId="77777777" w:rsidR="00A13061" w:rsidRPr="00EE014F" w:rsidRDefault="00A13061" w:rsidP="0081042B">
      <w:pPr>
        <w:autoSpaceDE w:val="0"/>
        <w:autoSpaceDN w:val="0"/>
        <w:adjustRightInd w:val="0"/>
        <w:spacing w:after="0"/>
        <w:ind w:left="720"/>
        <w:rPr>
          <w:rFonts w:eastAsiaTheme="minorHAnsi"/>
        </w:rPr>
      </w:pPr>
      <w:r>
        <w:rPr>
          <w:b/>
          <w:i/>
        </w:rPr>
        <w:t>Adoption assistance</w:t>
      </w:r>
      <w:r w:rsidRPr="0061127F">
        <w:rPr>
          <w:rFonts w:eastAsiaTheme="minorHAnsi"/>
          <w:bCs/>
          <w:iCs/>
        </w:rPr>
        <w:t>—</w:t>
      </w:r>
      <w:r w:rsidRPr="00EE014F">
        <w:t>e</w:t>
      </w:r>
      <w:r w:rsidRPr="00EE014F">
        <w:rPr>
          <w:rFonts w:eastAsiaTheme="minorHAnsi"/>
        </w:rPr>
        <w:t>xcludable employer-provided adoption assistance</w:t>
      </w:r>
    </w:p>
    <w:p w14:paraId="22DD7AD7" w14:textId="0A6984A0" w:rsidR="00A13061" w:rsidRPr="00EE014F" w:rsidRDefault="00A13061" w:rsidP="0081042B">
      <w:pPr>
        <w:spacing w:after="0"/>
        <w:ind w:left="720"/>
        <w:rPr>
          <w:b/>
          <w:i/>
        </w:rPr>
      </w:pPr>
      <w:r w:rsidRPr="00EE014F">
        <w:rPr>
          <w:rFonts w:eastAsiaTheme="minorHAnsi"/>
        </w:rPr>
        <w:t>for employees ($</w:t>
      </w:r>
      <w:r w:rsidRPr="00FC40AE">
        <w:rPr>
          <w:rFonts w:eastAsiaTheme="minorHAnsi"/>
        </w:rPr>
        <w:t>14,</w:t>
      </w:r>
      <w:r w:rsidR="006D6F43">
        <w:rPr>
          <w:rFonts w:eastAsiaTheme="minorHAnsi"/>
        </w:rPr>
        <w:t>89</w:t>
      </w:r>
      <w:r>
        <w:rPr>
          <w:rFonts w:eastAsiaTheme="minorHAnsi"/>
        </w:rPr>
        <w:t>0</w:t>
      </w:r>
      <w:r w:rsidRPr="00EE014F">
        <w:rPr>
          <w:rFonts w:eastAsiaTheme="minorHAnsi"/>
        </w:rPr>
        <w:t xml:space="preserve"> for 20</w:t>
      </w:r>
      <w:r>
        <w:rPr>
          <w:rFonts w:eastAsiaTheme="minorHAnsi"/>
        </w:rPr>
        <w:t>2</w:t>
      </w:r>
      <w:r w:rsidR="006D6F43">
        <w:rPr>
          <w:rFonts w:eastAsiaTheme="minorHAnsi"/>
        </w:rPr>
        <w:t>2</w:t>
      </w:r>
      <w:r w:rsidRPr="00EE014F">
        <w:rPr>
          <w:rFonts w:eastAsiaTheme="minorHAnsi"/>
        </w:rPr>
        <w:t>).</w:t>
      </w:r>
      <w:r w:rsidRPr="00EE014F">
        <w:rPr>
          <w:b/>
          <w:i/>
        </w:rPr>
        <w:t xml:space="preserve"> </w:t>
      </w:r>
    </w:p>
    <w:p w14:paraId="69AAFFDB" w14:textId="77777777" w:rsidR="00B1214E" w:rsidRDefault="00B1214E" w:rsidP="0081042B">
      <w:pPr>
        <w:spacing w:after="0"/>
        <w:ind w:left="720"/>
        <w:rPr>
          <w:b/>
          <w:i/>
        </w:rPr>
      </w:pPr>
    </w:p>
    <w:p w14:paraId="25BE564F" w14:textId="378AF880" w:rsidR="00A13061" w:rsidRPr="004B238D" w:rsidRDefault="00A13061" w:rsidP="0081042B">
      <w:pPr>
        <w:spacing w:after="0"/>
        <w:ind w:left="720"/>
      </w:pPr>
      <w:r>
        <w:rPr>
          <w:b/>
          <w:i/>
        </w:rPr>
        <w:t>Cash method of accounting</w:t>
      </w:r>
      <w:r w:rsidRPr="0061127F">
        <w:rPr>
          <w:rFonts w:eastAsiaTheme="minorHAnsi"/>
          <w:bCs/>
          <w:iCs/>
        </w:rPr>
        <w:t>—</w:t>
      </w:r>
      <w:r>
        <w:t>the gross receipts test for eligibility of C corporations and partnerships with C corporation partners to use the cash method of accounting is average annual gross receipts in the 3 prior years not exceeding a set amount ($</w:t>
      </w:r>
      <w:r w:rsidRPr="008F393E">
        <w:t>2</w:t>
      </w:r>
      <w:r w:rsidR="006D6F43">
        <w:t>7</w:t>
      </w:r>
      <w:r>
        <w:t xml:space="preserve"> million in 202</w:t>
      </w:r>
      <w:r w:rsidR="006D6F43">
        <w:t>2</w:t>
      </w:r>
      <w:r>
        <w:t>).</w:t>
      </w:r>
    </w:p>
    <w:p w14:paraId="39218AA6" w14:textId="77777777" w:rsidR="00B1214E" w:rsidRDefault="00B1214E" w:rsidP="0081042B">
      <w:pPr>
        <w:spacing w:after="0"/>
        <w:ind w:left="720"/>
        <w:rPr>
          <w:b/>
          <w:i/>
        </w:rPr>
      </w:pPr>
    </w:p>
    <w:p w14:paraId="0F6846D4" w14:textId="01A4EB21" w:rsidR="00AE12CC" w:rsidRPr="00AE12CC" w:rsidRDefault="00AE12CC" w:rsidP="0081042B">
      <w:pPr>
        <w:spacing w:after="0"/>
        <w:ind w:left="720"/>
        <w:rPr>
          <w:bCs/>
          <w:iCs/>
        </w:rPr>
      </w:pPr>
      <w:r>
        <w:rPr>
          <w:b/>
          <w:i/>
        </w:rPr>
        <w:t xml:space="preserve">Energy-efficient commercial buildings. </w:t>
      </w:r>
      <w:r>
        <w:rPr>
          <w:bCs/>
          <w:iCs/>
        </w:rPr>
        <w:t>The deduction for 2022 is $1.88 per square foot. The partial allowance in 2022 is $0.63 per square foot.</w:t>
      </w:r>
    </w:p>
    <w:p w14:paraId="386C1CE4" w14:textId="77777777" w:rsidR="00AE12CC" w:rsidRPr="00AE12CC" w:rsidRDefault="00AE12CC" w:rsidP="0081042B">
      <w:pPr>
        <w:spacing w:after="0"/>
        <w:ind w:left="720"/>
        <w:rPr>
          <w:bCs/>
          <w:iCs/>
        </w:rPr>
      </w:pPr>
    </w:p>
    <w:p w14:paraId="1201E420" w14:textId="2441E7D9" w:rsidR="00A13061" w:rsidRPr="00C825D8" w:rsidRDefault="00A13061" w:rsidP="0081042B">
      <w:pPr>
        <w:spacing w:after="0"/>
        <w:ind w:left="720"/>
      </w:pPr>
      <w:r>
        <w:rPr>
          <w:b/>
          <w:i/>
        </w:rPr>
        <w:t>Excess business losses</w:t>
      </w:r>
      <w:r w:rsidR="00B1214E">
        <w:rPr>
          <w:b/>
          <w:i/>
        </w:rPr>
        <w:t xml:space="preserve"> for noncorporate taxpayers</w:t>
      </w:r>
      <w:r>
        <w:t xml:space="preserve">—the threshold used in determining whether an owner of a pass-through entity has such losses is capped </w:t>
      </w:r>
      <w:r w:rsidR="00EA1435">
        <w:t xml:space="preserve">on their personal returns </w:t>
      </w:r>
      <w:r>
        <w:t>at a set amount ($5</w:t>
      </w:r>
      <w:r w:rsidR="00A73961">
        <w:t>4</w:t>
      </w:r>
      <w:r w:rsidR="00AE12CC">
        <w:t>0</w:t>
      </w:r>
      <w:r>
        <w:t>,000</w:t>
      </w:r>
      <w:r w:rsidRPr="008F393E">
        <w:t xml:space="preserve"> for joint filers and $</w:t>
      </w:r>
      <w:r w:rsidR="00AE12CC">
        <w:t>270</w:t>
      </w:r>
      <w:r w:rsidRPr="008F393E">
        <w:t>,000</w:t>
      </w:r>
      <w:r>
        <w:t xml:space="preserve"> for other filers in 202</w:t>
      </w:r>
      <w:r w:rsidR="006D6F43">
        <w:t>2</w:t>
      </w:r>
      <w:r>
        <w:t>).</w:t>
      </w:r>
    </w:p>
    <w:p w14:paraId="25412D20" w14:textId="77777777" w:rsidR="00B1214E" w:rsidRDefault="00B1214E" w:rsidP="0081042B">
      <w:pPr>
        <w:spacing w:after="0"/>
        <w:ind w:left="720"/>
        <w:rPr>
          <w:b/>
          <w:i/>
        </w:rPr>
      </w:pPr>
    </w:p>
    <w:p w14:paraId="6D9967C7" w14:textId="7D15D385" w:rsidR="00A13061" w:rsidRDefault="00A13061" w:rsidP="0081042B">
      <w:pPr>
        <w:spacing w:after="0"/>
        <w:ind w:left="720"/>
        <w:rPr>
          <w:rFonts w:eastAsiaTheme="minorHAnsi"/>
        </w:rPr>
      </w:pPr>
      <w:r>
        <w:rPr>
          <w:b/>
          <w:i/>
        </w:rPr>
        <w:t>First-year expensing (Sec. 179 deduction)</w:t>
      </w:r>
      <w:r w:rsidRPr="0061127F">
        <w:rPr>
          <w:rFonts w:eastAsiaTheme="minorHAnsi"/>
          <w:bCs/>
          <w:iCs/>
        </w:rPr>
        <w:t>—</w:t>
      </w:r>
      <w:r w:rsidRPr="00EE014F">
        <w:rPr>
          <w:rFonts w:eastAsiaTheme="minorHAnsi"/>
        </w:rPr>
        <w:t>the dollar limit on the deduction,</w:t>
      </w:r>
      <w:r>
        <w:rPr>
          <w:rFonts w:eastAsiaTheme="minorHAnsi"/>
        </w:rPr>
        <w:t xml:space="preserve"> </w:t>
      </w:r>
      <w:r w:rsidRPr="00EE014F">
        <w:rPr>
          <w:rFonts w:eastAsiaTheme="minorHAnsi"/>
        </w:rPr>
        <w:t xml:space="preserve">as well as the phase-out </w:t>
      </w:r>
      <w:r w:rsidR="00E84150">
        <w:rPr>
          <w:rFonts w:eastAsiaTheme="minorHAnsi"/>
        </w:rPr>
        <w:t xml:space="preserve">threshold </w:t>
      </w:r>
      <w:r w:rsidRPr="00EE014F">
        <w:rPr>
          <w:rFonts w:eastAsiaTheme="minorHAnsi"/>
        </w:rPr>
        <w:t>on property placed in service</w:t>
      </w:r>
      <w:r w:rsidR="00B1214E">
        <w:rPr>
          <w:rFonts w:eastAsiaTheme="minorHAnsi"/>
        </w:rPr>
        <w:t xml:space="preserve"> for </w:t>
      </w:r>
      <w:r w:rsidRPr="00EE014F">
        <w:rPr>
          <w:rFonts w:eastAsiaTheme="minorHAnsi"/>
        </w:rPr>
        <w:t>20</w:t>
      </w:r>
      <w:r>
        <w:rPr>
          <w:rFonts w:eastAsiaTheme="minorHAnsi"/>
        </w:rPr>
        <w:t>2</w:t>
      </w:r>
      <w:r w:rsidR="00AE12CC">
        <w:rPr>
          <w:rFonts w:eastAsiaTheme="minorHAnsi"/>
        </w:rPr>
        <w:t>2</w:t>
      </w:r>
      <w:r w:rsidRPr="00EE014F">
        <w:rPr>
          <w:rFonts w:eastAsiaTheme="minorHAnsi"/>
        </w:rPr>
        <w:t xml:space="preserve"> are $</w:t>
      </w:r>
      <w:r>
        <w:rPr>
          <w:rFonts w:eastAsiaTheme="minorHAnsi"/>
        </w:rPr>
        <w:t>1,0</w:t>
      </w:r>
      <w:r w:rsidR="00AE12CC">
        <w:rPr>
          <w:rFonts w:eastAsiaTheme="minorHAnsi"/>
        </w:rPr>
        <w:t>8</w:t>
      </w:r>
      <w:r>
        <w:rPr>
          <w:rFonts w:eastAsiaTheme="minorHAnsi"/>
        </w:rPr>
        <w:t xml:space="preserve">0,000 </w:t>
      </w:r>
      <w:r w:rsidRPr="00EE014F">
        <w:rPr>
          <w:rFonts w:eastAsiaTheme="minorHAnsi"/>
        </w:rPr>
        <w:t>and $</w:t>
      </w:r>
      <w:r>
        <w:rPr>
          <w:rFonts w:eastAsiaTheme="minorHAnsi"/>
        </w:rPr>
        <w:t>2,</w:t>
      </w:r>
      <w:r w:rsidR="00AE12CC">
        <w:rPr>
          <w:rFonts w:eastAsiaTheme="minorHAnsi"/>
        </w:rPr>
        <w:t>700</w:t>
      </w:r>
      <w:r>
        <w:rPr>
          <w:rFonts w:eastAsiaTheme="minorHAnsi"/>
        </w:rPr>
        <w:t>,000</w:t>
      </w:r>
      <w:r w:rsidRPr="00EE014F">
        <w:rPr>
          <w:rFonts w:eastAsiaTheme="minorHAnsi"/>
        </w:rPr>
        <w:t>, respectively</w:t>
      </w:r>
      <w:r>
        <w:rPr>
          <w:rFonts w:eastAsiaTheme="minorHAnsi"/>
        </w:rPr>
        <w:t>.</w:t>
      </w:r>
    </w:p>
    <w:p w14:paraId="7C7FBA09" w14:textId="77777777" w:rsidR="00B1214E" w:rsidRDefault="00B1214E" w:rsidP="0081042B">
      <w:pPr>
        <w:autoSpaceDE w:val="0"/>
        <w:autoSpaceDN w:val="0"/>
        <w:adjustRightInd w:val="0"/>
        <w:spacing w:after="0"/>
        <w:ind w:left="720"/>
        <w:rPr>
          <w:rFonts w:eastAsiaTheme="minorHAnsi"/>
          <w:b/>
          <w:bCs/>
          <w:i/>
          <w:iCs/>
        </w:rPr>
      </w:pPr>
    </w:p>
    <w:p w14:paraId="312F3A6D" w14:textId="335CAAB8" w:rsidR="00A13061" w:rsidRPr="004B238D" w:rsidRDefault="00A13061" w:rsidP="0081042B">
      <w:pPr>
        <w:autoSpaceDE w:val="0"/>
        <w:autoSpaceDN w:val="0"/>
        <w:adjustRightInd w:val="0"/>
        <w:spacing w:after="0"/>
        <w:ind w:left="720"/>
        <w:rPr>
          <w:rFonts w:eastAsiaTheme="minorHAnsi"/>
          <w:bCs/>
          <w:iCs/>
        </w:rPr>
      </w:pPr>
      <w:r>
        <w:rPr>
          <w:rFonts w:eastAsiaTheme="minorHAnsi"/>
          <w:b/>
          <w:bCs/>
          <w:i/>
          <w:iCs/>
        </w:rPr>
        <w:t>Foreign earned income exclusion</w:t>
      </w:r>
      <w:r>
        <w:rPr>
          <w:rFonts w:eastAsiaTheme="minorHAnsi"/>
          <w:bCs/>
          <w:iCs/>
        </w:rPr>
        <w:t xml:space="preserve">—the </w:t>
      </w:r>
      <w:proofErr w:type="gramStart"/>
      <w:r>
        <w:rPr>
          <w:rFonts w:eastAsiaTheme="minorHAnsi"/>
          <w:bCs/>
          <w:iCs/>
        </w:rPr>
        <w:t>amount</w:t>
      </w:r>
      <w:proofErr w:type="gramEnd"/>
      <w:r>
        <w:rPr>
          <w:rFonts w:eastAsiaTheme="minorHAnsi"/>
          <w:bCs/>
          <w:iCs/>
        </w:rPr>
        <w:t xml:space="preserve"> of wages or self-employment income earned abroad eligible for the exclusion is limited ($</w:t>
      </w:r>
      <w:r w:rsidR="00AE12CC">
        <w:rPr>
          <w:rFonts w:eastAsiaTheme="minorHAnsi"/>
          <w:bCs/>
          <w:iCs/>
        </w:rPr>
        <w:t>112,000</w:t>
      </w:r>
      <w:r>
        <w:rPr>
          <w:rFonts w:eastAsiaTheme="minorHAnsi"/>
          <w:bCs/>
          <w:iCs/>
        </w:rPr>
        <w:t xml:space="preserve"> in 202</w:t>
      </w:r>
      <w:r w:rsidR="00AE12CC">
        <w:rPr>
          <w:rFonts w:eastAsiaTheme="minorHAnsi"/>
          <w:bCs/>
          <w:iCs/>
        </w:rPr>
        <w:t>2</w:t>
      </w:r>
      <w:r>
        <w:rPr>
          <w:rFonts w:eastAsiaTheme="minorHAnsi"/>
          <w:bCs/>
          <w:iCs/>
        </w:rPr>
        <w:t>).</w:t>
      </w:r>
    </w:p>
    <w:p w14:paraId="6026D528" w14:textId="77777777" w:rsidR="00B1214E" w:rsidRDefault="00B1214E" w:rsidP="0081042B">
      <w:pPr>
        <w:autoSpaceDE w:val="0"/>
        <w:autoSpaceDN w:val="0"/>
        <w:adjustRightInd w:val="0"/>
        <w:spacing w:after="0"/>
        <w:ind w:left="720"/>
        <w:rPr>
          <w:rFonts w:eastAsiaTheme="minorHAnsi"/>
          <w:b/>
          <w:bCs/>
          <w:i/>
          <w:iCs/>
        </w:rPr>
      </w:pPr>
    </w:p>
    <w:p w14:paraId="07D262D1" w14:textId="587D2FA2" w:rsidR="00A13061" w:rsidRDefault="00A13061" w:rsidP="0081042B">
      <w:pPr>
        <w:autoSpaceDE w:val="0"/>
        <w:autoSpaceDN w:val="0"/>
        <w:adjustRightInd w:val="0"/>
        <w:spacing w:after="0"/>
        <w:ind w:left="720"/>
        <w:rPr>
          <w:rFonts w:eastAsiaTheme="minorHAnsi"/>
        </w:rPr>
      </w:pPr>
      <w:r w:rsidRPr="00EE014F">
        <w:rPr>
          <w:rFonts w:eastAsiaTheme="minorHAnsi"/>
          <w:b/>
          <w:bCs/>
          <w:i/>
          <w:iCs/>
        </w:rPr>
        <w:t>Medical flexible spending accounts (FSAs)</w:t>
      </w:r>
      <w:r w:rsidRPr="0061127F">
        <w:rPr>
          <w:rFonts w:eastAsiaTheme="minorHAnsi"/>
          <w:bCs/>
          <w:iCs/>
        </w:rPr>
        <w:t>—</w:t>
      </w:r>
      <w:r w:rsidRPr="00EE014F">
        <w:rPr>
          <w:rFonts w:eastAsiaTheme="minorHAnsi"/>
        </w:rPr>
        <w:t>the most that employees can</w:t>
      </w:r>
      <w:r>
        <w:rPr>
          <w:rFonts w:eastAsiaTheme="minorHAnsi"/>
        </w:rPr>
        <w:t xml:space="preserve"> </w:t>
      </w:r>
      <w:r w:rsidRPr="00EE014F">
        <w:rPr>
          <w:rFonts w:eastAsiaTheme="minorHAnsi"/>
        </w:rPr>
        <w:t>add annually on a pretax basis is capped at $</w:t>
      </w:r>
      <w:r w:rsidRPr="008F393E">
        <w:rPr>
          <w:rFonts w:eastAsiaTheme="minorHAnsi"/>
        </w:rPr>
        <w:t>2,</w:t>
      </w:r>
      <w:r w:rsidR="00AE12CC">
        <w:rPr>
          <w:rFonts w:eastAsiaTheme="minorHAnsi"/>
        </w:rPr>
        <w:t>8</w:t>
      </w:r>
      <w:r>
        <w:rPr>
          <w:rFonts w:eastAsiaTheme="minorHAnsi"/>
        </w:rPr>
        <w:t>5</w:t>
      </w:r>
      <w:r w:rsidRPr="008F393E">
        <w:rPr>
          <w:rFonts w:eastAsiaTheme="minorHAnsi"/>
        </w:rPr>
        <w:t>0</w:t>
      </w:r>
      <w:r w:rsidRPr="00EE014F">
        <w:rPr>
          <w:rFonts w:eastAsiaTheme="minorHAnsi"/>
        </w:rPr>
        <w:t xml:space="preserve"> for 20</w:t>
      </w:r>
      <w:r>
        <w:rPr>
          <w:rFonts w:eastAsiaTheme="minorHAnsi"/>
        </w:rPr>
        <w:t>2</w:t>
      </w:r>
      <w:r w:rsidR="00AE12CC">
        <w:rPr>
          <w:rFonts w:eastAsiaTheme="minorHAnsi"/>
        </w:rPr>
        <w:t>2</w:t>
      </w:r>
      <w:r w:rsidRPr="00EE014F">
        <w:rPr>
          <w:rFonts w:eastAsiaTheme="minorHAnsi"/>
        </w:rPr>
        <w:t>.</w:t>
      </w:r>
    </w:p>
    <w:p w14:paraId="559BB6D3" w14:textId="77777777" w:rsidR="00B1214E" w:rsidRDefault="00B1214E" w:rsidP="0081042B">
      <w:pPr>
        <w:autoSpaceDE w:val="0"/>
        <w:autoSpaceDN w:val="0"/>
        <w:adjustRightInd w:val="0"/>
        <w:spacing w:after="0"/>
        <w:ind w:left="720"/>
        <w:rPr>
          <w:rFonts w:eastAsiaTheme="minorHAnsi"/>
          <w:b/>
          <w:bCs/>
          <w:i/>
          <w:iCs/>
        </w:rPr>
      </w:pPr>
    </w:p>
    <w:p w14:paraId="17DF7E67" w14:textId="71710A59" w:rsidR="00A13061" w:rsidRDefault="00A13061" w:rsidP="0081042B">
      <w:pPr>
        <w:autoSpaceDE w:val="0"/>
        <w:autoSpaceDN w:val="0"/>
        <w:adjustRightInd w:val="0"/>
        <w:spacing w:after="0"/>
        <w:ind w:left="720"/>
        <w:rPr>
          <w:rFonts w:eastAsiaTheme="minorHAnsi"/>
          <w:bCs/>
          <w:iCs/>
        </w:rPr>
      </w:pPr>
      <w:r>
        <w:rPr>
          <w:rFonts w:eastAsiaTheme="minorHAnsi"/>
          <w:b/>
          <w:bCs/>
          <w:i/>
          <w:iCs/>
        </w:rPr>
        <w:t>Qualified business income deduction</w:t>
      </w:r>
      <w:r w:rsidRPr="0061127F">
        <w:rPr>
          <w:rFonts w:eastAsiaTheme="minorHAnsi"/>
          <w:bCs/>
          <w:iCs/>
        </w:rPr>
        <w:t>—</w:t>
      </w:r>
      <w:r>
        <w:rPr>
          <w:rFonts w:eastAsiaTheme="minorHAnsi"/>
          <w:bCs/>
          <w:iCs/>
        </w:rPr>
        <w:t>the taxable income limit for the 20% deduction before application of a formula is required (and a phase-out for owners in specified service trades or businesses) is $</w:t>
      </w:r>
      <w:r w:rsidR="00AE12CC">
        <w:rPr>
          <w:rFonts w:eastAsiaTheme="minorHAnsi"/>
          <w:bCs/>
          <w:iCs/>
        </w:rPr>
        <w:t>340,100</w:t>
      </w:r>
      <w:r w:rsidRPr="008F393E">
        <w:rPr>
          <w:rFonts w:eastAsiaTheme="minorHAnsi"/>
          <w:bCs/>
          <w:iCs/>
        </w:rPr>
        <w:t xml:space="preserve"> on joint returns</w:t>
      </w:r>
      <w:r w:rsidR="00AE12CC">
        <w:rPr>
          <w:rFonts w:eastAsiaTheme="minorHAnsi"/>
          <w:bCs/>
          <w:iCs/>
        </w:rPr>
        <w:t xml:space="preserve"> </w:t>
      </w:r>
      <w:r w:rsidRPr="008F393E">
        <w:rPr>
          <w:rFonts w:eastAsiaTheme="minorHAnsi"/>
          <w:bCs/>
          <w:iCs/>
        </w:rPr>
        <w:t>and $</w:t>
      </w:r>
      <w:r w:rsidR="00AE12CC">
        <w:rPr>
          <w:rFonts w:eastAsiaTheme="minorHAnsi"/>
          <w:bCs/>
          <w:iCs/>
        </w:rPr>
        <w:t>170,050</w:t>
      </w:r>
      <w:r>
        <w:rPr>
          <w:rFonts w:eastAsiaTheme="minorHAnsi"/>
          <w:bCs/>
          <w:iCs/>
        </w:rPr>
        <w:t xml:space="preserve"> for other filers</w:t>
      </w:r>
      <w:r w:rsidR="00DE37D2">
        <w:rPr>
          <w:rFonts w:eastAsiaTheme="minorHAnsi"/>
          <w:bCs/>
          <w:iCs/>
        </w:rPr>
        <w:t xml:space="preserve"> in 202</w:t>
      </w:r>
      <w:r w:rsidR="00AE12CC">
        <w:rPr>
          <w:rFonts w:eastAsiaTheme="minorHAnsi"/>
          <w:bCs/>
          <w:iCs/>
        </w:rPr>
        <w:t>2</w:t>
      </w:r>
      <w:r>
        <w:rPr>
          <w:rFonts w:eastAsiaTheme="minorHAnsi"/>
          <w:bCs/>
          <w:iCs/>
        </w:rPr>
        <w:t>.</w:t>
      </w:r>
    </w:p>
    <w:p w14:paraId="7400F2EE" w14:textId="77777777" w:rsidR="00A13061" w:rsidRPr="00C825D8" w:rsidRDefault="00A13061" w:rsidP="0081042B">
      <w:pPr>
        <w:autoSpaceDE w:val="0"/>
        <w:autoSpaceDN w:val="0"/>
        <w:adjustRightInd w:val="0"/>
        <w:spacing w:after="0"/>
        <w:ind w:left="720"/>
        <w:rPr>
          <w:rFonts w:eastAsiaTheme="minorHAnsi"/>
          <w:bCs/>
          <w:iCs/>
        </w:rPr>
      </w:pPr>
    </w:p>
    <w:p w14:paraId="63749988" w14:textId="790F874B" w:rsidR="00A13061" w:rsidRPr="00EE014F" w:rsidRDefault="00A13061" w:rsidP="0081042B">
      <w:pPr>
        <w:autoSpaceDE w:val="0"/>
        <w:autoSpaceDN w:val="0"/>
        <w:adjustRightInd w:val="0"/>
        <w:spacing w:after="0"/>
        <w:ind w:left="720"/>
        <w:rPr>
          <w:rFonts w:eastAsiaTheme="minorHAnsi"/>
        </w:rPr>
      </w:pPr>
      <w:r w:rsidRPr="00EE014F">
        <w:rPr>
          <w:rFonts w:eastAsiaTheme="minorHAnsi"/>
          <w:b/>
          <w:bCs/>
          <w:i/>
          <w:iCs/>
        </w:rPr>
        <w:t>Small employer health insurance credit</w:t>
      </w:r>
      <w:r w:rsidRPr="0061127F">
        <w:rPr>
          <w:rFonts w:eastAsiaTheme="minorHAnsi"/>
          <w:bCs/>
          <w:iCs/>
        </w:rPr>
        <w:t>—</w:t>
      </w:r>
      <w:r w:rsidRPr="00EE014F">
        <w:rPr>
          <w:rFonts w:eastAsiaTheme="minorHAnsi"/>
        </w:rPr>
        <w:t>the amount of average compensation,</w:t>
      </w:r>
      <w:r>
        <w:rPr>
          <w:rFonts w:eastAsiaTheme="minorHAnsi"/>
        </w:rPr>
        <w:t xml:space="preserve"> </w:t>
      </w:r>
      <w:r w:rsidRPr="00EE014F">
        <w:rPr>
          <w:rFonts w:eastAsiaTheme="minorHAnsi"/>
        </w:rPr>
        <w:t>originally fixed at $</w:t>
      </w:r>
      <w:r w:rsidRPr="008F393E">
        <w:rPr>
          <w:rFonts w:eastAsiaTheme="minorHAnsi"/>
        </w:rPr>
        <w:t>25,000, is $</w:t>
      </w:r>
      <w:r w:rsidR="002A3C78">
        <w:rPr>
          <w:rFonts w:eastAsiaTheme="minorHAnsi"/>
        </w:rPr>
        <w:t>28,700</w:t>
      </w:r>
      <w:r w:rsidRPr="00EE014F">
        <w:rPr>
          <w:rFonts w:eastAsiaTheme="minorHAnsi"/>
        </w:rPr>
        <w:t xml:space="preserve"> for 20</w:t>
      </w:r>
      <w:r>
        <w:rPr>
          <w:rFonts w:eastAsiaTheme="minorHAnsi"/>
        </w:rPr>
        <w:t>2</w:t>
      </w:r>
      <w:r w:rsidR="00AE12CC">
        <w:rPr>
          <w:rFonts w:eastAsiaTheme="minorHAnsi"/>
        </w:rPr>
        <w:t>2</w:t>
      </w:r>
      <w:r w:rsidRPr="00EE014F">
        <w:rPr>
          <w:rFonts w:eastAsiaTheme="minorHAnsi"/>
        </w:rPr>
        <w:t>.</w:t>
      </w:r>
    </w:p>
    <w:p w14:paraId="0B32E707" w14:textId="77777777" w:rsidR="00A13061" w:rsidRPr="00EE014F" w:rsidRDefault="00A13061" w:rsidP="0081042B">
      <w:pPr>
        <w:autoSpaceDE w:val="0"/>
        <w:autoSpaceDN w:val="0"/>
        <w:adjustRightInd w:val="0"/>
        <w:spacing w:after="0"/>
        <w:ind w:left="720"/>
        <w:rPr>
          <w:rFonts w:eastAsiaTheme="minorHAnsi"/>
          <w:b/>
          <w:bCs/>
          <w:i/>
          <w:iCs/>
        </w:rPr>
      </w:pPr>
    </w:p>
    <w:p w14:paraId="3AD5AB3E" w14:textId="0FA20B99" w:rsidR="00A13061" w:rsidRDefault="00A13061" w:rsidP="0081042B">
      <w:pPr>
        <w:autoSpaceDE w:val="0"/>
        <w:autoSpaceDN w:val="0"/>
        <w:adjustRightInd w:val="0"/>
        <w:spacing w:after="0"/>
        <w:ind w:left="720"/>
        <w:rPr>
          <w:rFonts w:eastAsiaTheme="minorHAnsi"/>
        </w:rPr>
      </w:pPr>
      <w:r w:rsidRPr="00EE014F">
        <w:rPr>
          <w:rFonts w:eastAsiaTheme="minorHAnsi"/>
          <w:b/>
          <w:bCs/>
          <w:i/>
          <w:iCs/>
        </w:rPr>
        <w:t>Social Security wage base</w:t>
      </w:r>
      <w:r w:rsidRPr="0061127F">
        <w:rPr>
          <w:rFonts w:eastAsiaTheme="minorHAnsi"/>
          <w:bCs/>
          <w:iCs/>
        </w:rPr>
        <w:t>—</w:t>
      </w:r>
      <w:r w:rsidRPr="00EE014F">
        <w:rPr>
          <w:rFonts w:eastAsiaTheme="minorHAnsi"/>
        </w:rPr>
        <w:t>the amount that is used to figure the Social</w:t>
      </w:r>
      <w:r>
        <w:rPr>
          <w:rFonts w:eastAsiaTheme="minorHAnsi"/>
        </w:rPr>
        <w:t xml:space="preserve"> </w:t>
      </w:r>
      <w:r w:rsidRPr="00EE014F">
        <w:rPr>
          <w:rFonts w:eastAsiaTheme="minorHAnsi"/>
        </w:rPr>
        <w:t>Security portion of FICA and self-employment tax ($</w:t>
      </w:r>
      <w:r w:rsidR="002A3C78">
        <w:rPr>
          <w:rFonts w:eastAsiaTheme="minorHAnsi"/>
        </w:rPr>
        <w:t>147,000</w:t>
      </w:r>
      <w:r w:rsidRPr="00EE014F">
        <w:rPr>
          <w:rFonts w:eastAsiaTheme="minorHAnsi"/>
        </w:rPr>
        <w:t xml:space="preserve"> for 20</w:t>
      </w:r>
      <w:r>
        <w:rPr>
          <w:rFonts w:eastAsiaTheme="minorHAnsi"/>
        </w:rPr>
        <w:t>2</w:t>
      </w:r>
      <w:r w:rsidR="002A3C78">
        <w:rPr>
          <w:rFonts w:eastAsiaTheme="minorHAnsi"/>
        </w:rPr>
        <w:t>2</w:t>
      </w:r>
      <w:r w:rsidRPr="00EE014F">
        <w:rPr>
          <w:rFonts w:eastAsiaTheme="minorHAnsi"/>
        </w:rPr>
        <w:t>).</w:t>
      </w:r>
    </w:p>
    <w:p w14:paraId="3217501A" w14:textId="77777777" w:rsidR="00A13061" w:rsidRPr="00EE014F" w:rsidRDefault="00A13061" w:rsidP="0081042B">
      <w:pPr>
        <w:autoSpaceDE w:val="0"/>
        <w:autoSpaceDN w:val="0"/>
        <w:adjustRightInd w:val="0"/>
        <w:spacing w:after="0"/>
        <w:ind w:left="720"/>
        <w:rPr>
          <w:rFonts w:eastAsiaTheme="minorHAnsi"/>
        </w:rPr>
      </w:pPr>
    </w:p>
    <w:p w14:paraId="4368C279" w14:textId="6059B8EF" w:rsidR="00A13061" w:rsidRPr="00EE014F" w:rsidRDefault="00A13061" w:rsidP="0081042B">
      <w:pPr>
        <w:autoSpaceDE w:val="0"/>
        <w:autoSpaceDN w:val="0"/>
        <w:adjustRightInd w:val="0"/>
        <w:spacing w:after="0"/>
        <w:ind w:left="720"/>
        <w:rPr>
          <w:rFonts w:eastAsiaTheme="minorHAnsi"/>
        </w:rPr>
      </w:pPr>
      <w:r w:rsidRPr="00EE014F">
        <w:rPr>
          <w:rFonts w:eastAsiaTheme="minorHAnsi"/>
          <w:b/>
          <w:bCs/>
          <w:i/>
          <w:iCs/>
        </w:rPr>
        <w:t>Transportation fringe benefits</w:t>
      </w:r>
      <w:r w:rsidRPr="0061127F">
        <w:rPr>
          <w:rFonts w:eastAsiaTheme="minorHAnsi"/>
          <w:bCs/>
          <w:iCs/>
        </w:rPr>
        <w:t>—</w:t>
      </w:r>
      <w:r w:rsidRPr="00EE014F">
        <w:rPr>
          <w:rFonts w:eastAsiaTheme="minorHAnsi"/>
        </w:rPr>
        <w:t>the amount excludable for free parking,</w:t>
      </w:r>
      <w:r>
        <w:rPr>
          <w:rFonts w:eastAsiaTheme="minorHAnsi"/>
        </w:rPr>
        <w:t xml:space="preserve"> </w:t>
      </w:r>
      <w:r w:rsidRPr="00EE014F">
        <w:rPr>
          <w:rFonts w:eastAsiaTheme="minorHAnsi"/>
        </w:rPr>
        <w:t xml:space="preserve">and the aggregate amount excludable for transit passes or van pooling, </w:t>
      </w:r>
      <w:r>
        <w:rPr>
          <w:rFonts w:eastAsiaTheme="minorHAnsi"/>
        </w:rPr>
        <w:t>is</w:t>
      </w:r>
      <w:r w:rsidRPr="00EE014F">
        <w:rPr>
          <w:rFonts w:eastAsiaTheme="minorHAnsi"/>
        </w:rPr>
        <w:t xml:space="preserve"> $</w:t>
      </w:r>
      <w:r w:rsidRPr="00FC40AE">
        <w:rPr>
          <w:rFonts w:eastAsiaTheme="minorHAnsi"/>
        </w:rPr>
        <w:t>2</w:t>
      </w:r>
      <w:r w:rsidR="002A3C78">
        <w:rPr>
          <w:rFonts w:eastAsiaTheme="minorHAnsi"/>
        </w:rPr>
        <w:t>8</w:t>
      </w:r>
      <w:r>
        <w:rPr>
          <w:rFonts w:eastAsiaTheme="minorHAnsi"/>
        </w:rPr>
        <w:t>0</w:t>
      </w:r>
    </w:p>
    <w:p w14:paraId="24F96B4F" w14:textId="6586A9CF" w:rsidR="00A13061" w:rsidRDefault="00A13061" w:rsidP="0081042B">
      <w:pPr>
        <w:spacing w:after="0"/>
        <w:ind w:left="720"/>
        <w:rPr>
          <w:rFonts w:eastAsiaTheme="minorHAnsi"/>
        </w:rPr>
      </w:pPr>
      <w:r w:rsidRPr="00EE014F">
        <w:rPr>
          <w:rFonts w:eastAsiaTheme="minorHAnsi"/>
        </w:rPr>
        <w:t>per month in 20</w:t>
      </w:r>
      <w:r>
        <w:rPr>
          <w:rFonts w:eastAsiaTheme="minorHAnsi"/>
        </w:rPr>
        <w:t>2</w:t>
      </w:r>
      <w:r w:rsidR="002A3C78">
        <w:rPr>
          <w:rFonts w:eastAsiaTheme="minorHAnsi"/>
        </w:rPr>
        <w:t>2</w:t>
      </w:r>
      <w:r w:rsidRPr="00EE014F">
        <w:rPr>
          <w:rFonts w:eastAsiaTheme="minorHAnsi"/>
        </w:rPr>
        <w:t>.</w:t>
      </w:r>
    </w:p>
    <w:p w14:paraId="67169ED3" w14:textId="77777777" w:rsidR="008809E3" w:rsidRDefault="008809E3" w:rsidP="0081042B">
      <w:pPr>
        <w:spacing w:after="0"/>
        <w:rPr>
          <w:rFonts w:eastAsiaTheme="minorHAnsi"/>
          <w:b/>
        </w:rPr>
      </w:pPr>
    </w:p>
    <w:p w14:paraId="0F9676E4" w14:textId="66824EA5" w:rsidR="00A13061" w:rsidRDefault="00A13061" w:rsidP="0081042B">
      <w:pPr>
        <w:spacing w:after="0"/>
      </w:pPr>
      <w:r>
        <w:rPr>
          <w:rFonts w:eastAsiaTheme="minorHAnsi"/>
          <w:b/>
        </w:rPr>
        <w:t xml:space="preserve">Items set by the IRS. </w:t>
      </w:r>
      <w:r>
        <w:t>The following adjustments apply for 202</w:t>
      </w:r>
      <w:r w:rsidR="002A3C78">
        <w:t>2</w:t>
      </w:r>
      <w:r>
        <w:t xml:space="preserve"> (and do not factor into the preparation of 20</w:t>
      </w:r>
      <w:r w:rsidR="00A73961">
        <w:t>2</w:t>
      </w:r>
      <w:r w:rsidR="002A3C78">
        <w:t>1</w:t>
      </w:r>
      <w:r>
        <w:t xml:space="preserve"> returns):</w:t>
      </w:r>
    </w:p>
    <w:p w14:paraId="300FFD90" w14:textId="77777777" w:rsidR="00DA2960" w:rsidRDefault="00DA2960" w:rsidP="0081042B">
      <w:pPr>
        <w:spacing w:after="0"/>
      </w:pPr>
    </w:p>
    <w:p w14:paraId="1A5BBD5B" w14:textId="667EA436" w:rsidR="00A13061" w:rsidRDefault="00A13061" w:rsidP="0081042B">
      <w:pPr>
        <w:autoSpaceDE w:val="0"/>
        <w:autoSpaceDN w:val="0"/>
        <w:adjustRightInd w:val="0"/>
        <w:spacing w:after="0"/>
        <w:ind w:left="720"/>
        <w:rPr>
          <w:rFonts w:eastAsiaTheme="minorHAnsi"/>
        </w:rPr>
      </w:pPr>
      <w:r w:rsidRPr="00EE014F">
        <w:rPr>
          <w:rFonts w:eastAsiaTheme="minorHAnsi"/>
          <w:b/>
          <w:bCs/>
          <w:i/>
          <w:iCs/>
        </w:rPr>
        <w:t>Deemed depreciation for business vehicles</w:t>
      </w:r>
      <w:r w:rsidRPr="00EE014F">
        <w:rPr>
          <w:rFonts w:eastAsiaTheme="minorHAnsi"/>
        </w:rPr>
        <w:t xml:space="preserve">—if </w:t>
      </w:r>
      <w:r>
        <w:rPr>
          <w:rFonts w:eastAsiaTheme="minorHAnsi"/>
        </w:rPr>
        <w:t xml:space="preserve">the deduction for </w:t>
      </w:r>
      <w:r w:rsidRPr="00EE014F">
        <w:rPr>
          <w:rFonts w:eastAsiaTheme="minorHAnsi"/>
        </w:rPr>
        <w:t>expenses for business use</w:t>
      </w:r>
      <w:r>
        <w:rPr>
          <w:rFonts w:eastAsiaTheme="minorHAnsi"/>
        </w:rPr>
        <w:t xml:space="preserve"> </w:t>
      </w:r>
      <w:r w:rsidRPr="00EE014F">
        <w:rPr>
          <w:rFonts w:eastAsiaTheme="minorHAnsi"/>
        </w:rPr>
        <w:t xml:space="preserve">of a </w:t>
      </w:r>
      <w:r>
        <w:rPr>
          <w:rFonts w:eastAsiaTheme="minorHAnsi"/>
        </w:rPr>
        <w:t>p</w:t>
      </w:r>
      <w:r w:rsidRPr="00EE014F">
        <w:rPr>
          <w:rFonts w:eastAsiaTheme="minorHAnsi"/>
        </w:rPr>
        <w:t>ersonal vehicle owned by the taxpayer is figured using the IRS’s standard</w:t>
      </w:r>
      <w:r>
        <w:rPr>
          <w:rFonts w:eastAsiaTheme="minorHAnsi"/>
        </w:rPr>
        <w:t xml:space="preserve"> </w:t>
      </w:r>
      <w:r w:rsidRPr="00EE014F">
        <w:rPr>
          <w:rFonts w:eastAsiaTheme="minorHAnsi"/>
        </w:rPr>
        <w:t>mileage allowance, then the basis of the vehicle is reduced by a set amount</w:t>
      </w:r>
      <w:r>
        <w:rPr>
          <w:rFonts w:eastAsiaTheme="minorHAnsi"/>
        </w:rPr>
        <w:t xml:space="preserve"> </w:t>
      </w:r>
      <w:r w:rsidRPr="00EE014F">
        <w:rPr>
          <w:rFonts w:eastAsiaTheme="minorHAnsi"/>
        </w:rPr>
        <w:t xml:space="preserve">per mile (e.g., </w:t>
      </w:r>
      <w:r w:rsidR="00DE37D2" w:rsidRPr="00DA2960">
        <w:rPr>
          <w:rFonts w:eastAsiaTheme="minorHAnsi"/>
        </w:rPr>
        <w:t>26</w:t>
      </w:r>
      <w:r w:rsidRPr="00DA2960">
        <w:rPr>
          <w:rFonts w:eastAsiaTheme="minorHAnsi"/>
        </w:rPr>
        <w:t>¢ per mile in 202</w:t>
      </w:r>
      <w:r w:rsidR="002A3C78" w:rsidRPr="00DA2960">
        <w:rPr>
          <w:rFonts w:eastAsiaTheme="minorHAnsi"/>
        </w:rPr>
        <w:t>2</w:t>
      </w:r>
      <w:r w:rsidRPr="00EE014F">
        <w:rPr>
          <w:rFonts w:eastAsiaTheme="minorHAnsi"/>
        </w:rPr>
        <w:t>).</w:t>
      </w:r>
    </w:p>
    <w:p w14:paraId="4C7C0C32" w14:textId="77777777" w:rsidR="00A13061" w:rsidRPr="00EE014F" w:rsidRDefault="00A13061" w:rsidP="0081042B">
      <w:pPr>
        <w:autoSpaceDE w:val="0"/>
        <w:autoSpaceDN w:val="0"/>
        <w:adjustRightInd w:val="0"/>
        <w:spacing w:after="0"/>
        <w:ind w:left="720"/>
        <w:rPr>
          <w:rFonts w:eastAsiaTheme="minorHAnsi"/>
        </w:rPr>
      </w:pPr>
    </w:p>
    <w:p w14:paraId="632E39E7" w14:textId="5171AC5A" w:rsidR="00A13061" w:rsidRDefault="00A13061" w:rsidP="0081042B">
      <w:pPr>
        <w:autoSpaceDE w:val="0"/>
        <w:autoSpaceDN w:val="0"/>
        <w:adjustRightInd w:val="0"/>
        <w:spacing w:after="0"/>
        <w:ind w:left="720"/>
      </w:pPr>
      <w:r w:rsidRPr="00EE014F">
        <w:rPr>
          <w:rFonts w:eastAsiaTheme="minorHAnsi"/>
          <w:b/>
          <w:bCs/>
          <w:i/>
          <w:iCs/>
        </w:rPr>
        <w:t>Mileage allowance</w:t>
      </w:r>
      <w:r w:rsidRPr="00EE014F">
        <w:rPr>
          <w:rFonts w:eastAsiaTheme="minorHAnsi"/>
        </w:rPr>
        <w:t>—the rate per mile used to determine the deduction for</w:t>
      </w:r>
      <w:r>
        <w:rPr>
          <w:rFonts w:eastAsiaTheme="minorHAnsi"/>
        </w:rPr>
        <w:t xml:space="preserve"> </w:t>
      </w:r>
      <w:r w:rsidRPr="00EE014F">
        <w:rPr>
          <w:rFonts w:eastAsiaTheme="minorHAnsi"/>
        </w:rPr>
        <w:t>business use of a personal vehicle instead of deducting the actual costs</w:t>
      </w:r>
      <w:r>
        <w:rPr>
          <w:rFonts w:eastAsiaTheme="minorHAnsi"/>
        </w:rPr>
        <w:t xml:space="preserve"> is </w:t>
      </w:r>
      <w:r w:rsidR="00DA2960">
        <w:rPr>
          <w:rFonts w:eastAsiaTheme="minorHAnsi"/>
        </w:rPr>
        <w:t>58.5</w:t>
      </w:r>
      <w:r w:rsidRPr="00EE014F">
        <w:rPr>
          <w:rFonts w:eastAsiaTheme="minorHAnsi"/>
        </w:rPr>
        <w:t xml:space="preserve">¢ per </w:t>
      </w:r>
      <w:r>
        <w:rPr>
          <w:rFonts w:eastAsiaTheme="minorHAnsi"/>
        </w:rPr>
        <w:t>m</w:t>
      </w:r>
      <w:r w:rsidRPr="00EE014F">
        <w:rPr>
          <w:rFonts w:eastAsiaTheme="minorHAnsi"/>
        </w:rPr>
        <w:t>ile in 20</w:t>
      </w:r>
      <w:r w:rsidR="002A3C78">
        <w:rPr>
          <w:rFonts w:eastAsiaTheme="minorHAnsi"/>
        </w:rPr>
        <w:t>22</w:t>
      </w:r>
      <w:r w:rsidRPr="00EE014F">
        <w:rPr>
          <w:rFonts w:eastAsiaTheme="minorHAnsi"/>
        </w:rPr>
        <w:t>.</w:t>
      </w:r>
    </w:p>
    <w:p w14:paraId="7F704E06" w14:textId="77777777" w:rsidR="00A13061" w:rsidRDefault="00A13061" w:rsidP="0081042B">
      <w:pPr>
        <w:spacing w:after="0"/>
      </w:pPr>
    </w:p>
    <w:p w14:paraId="126E26BB" w14:textId="77777777" w:rsidR="00A13061" w:rsidRDefault="00A13061" w:rsidP="0081042B">
      <w:pPr>
        <w:spacing w:after="0"/>
      </w:pPr>
    </w:p>
    <w:p w14:paraId="1EA50CCD" w14:textId="77777777" w:rsidR="008600AB" w:rsidRDefault="008600AB" w:rsidP="0081042B">
      <w:pPr>
        <w:spacing w:after="0"/>
      </w:pPr>
    </w:p>
    <w:sectPr w:rsidR="008600AB" w:rsidSect="00A05C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2CC"/>
    <w:multiLevelType w:val="hybridMultilevel"/>
    <w:tmpl w:val="95AED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D5830"/>
    <w:multiLevelType w:val="hybridMultilevel"/>
    <w:tmpl w:val="FCF0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26BDE"/>
    <w:multiLevelType w:val="hybridMultilevel"/>
    <w:tmpl w:val="EB46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029D"/>
    <w:multiLevelType w:val="hybridMultilevel"/>
    <w:tmpl w:val="E9E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43AC6"/>
    <w:multiLevelType w:val="hybridMultilevel"/>
    <w:tmpl w:val="1A1C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00F4A"/>
    <w:multiLevelType w:val="hybridMultilevel"/>
    <w:tmpl w:val="88BA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80E34"/>
    <w:multiLevelType w:val="hybridMultilevel"/>
    <w:tmpl w:val="110E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F2A44"/>
    <w:multiLevelType w:val="hybridMultilevel"/>
    <w:tmpl w:val="636E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759A1"/>
    <w:multiLevelType w:val="hybridMultilevel"/>
    <w:tmpl w:val="91F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A5D2E"/>
    <w:multiLevelType w:val="hybridMultilevel"/>
    <w:tmpl w:val="E8E06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D4077"/>
    <w:multiLevelType w:val="hybridMultilevel"/>
    <w:tmpl w:val="C0FAB058"/>
    <w:lvl w:ilvl="0" w:tplc="C64AC124">
      <w:start w:val="1"/>
      <w:numFmt w:val="bullet"/>
      <w:lvlText w:val=""/>
      <w:lvlJc w:val="left"/>
      <w:pPr>
        <w:tabs>
          <w:tab w:val="num" w:pos="720"/>
        </w:tabs>
        <w:ind w:left="720" w:hanging="360"/>
      </w:pPr>
      <w:rPr>
        <w:rFonts w:ascii="Wingdings" w:hAnsi="Wingdings" w:hint="default"/>
      </w:rPr>
    </w:lvl>
    <w:lvl w:ilvl="1" w:tplc="06AC6862">
      <w:start w:val="1"/>
      <w:numFmt w:val="bullet"/>
      <w:lvlText w:val=""/>
      <w:lvlJc w:val="left"/>
      <w:pPr>
        <w:tabs>
          <w:tab w:val="num" w:pos="1440"/>
        </w:tabs>
        <w:ind w:left="1440" w:hanging="360"/>
      </w:pPr>
      <w:rPr>
        <w:rFonts w:ascii="Wingdings" w:hAnsi="Wingdings" w:hint="default"/>
      </w:rPr>
    </w:lvl>
    <w:lvl w:ilvl="2" w:tplc="D5CCA306">
      <w:numFmt w:val="bullet"/>
      <w:lvlText w:val="•"/>
      <w:lvlJc w:val="left"/>
      <w:pPr>
        <w:tabs>
          <w:tab w:val="num" w:pos="2160"/>
        </w:tabs>
        <w:ind w:left="2160" w:hanging="360"/>
      </w:pPr>
      <w:rPr>
        <w:rFonts w:ascii="Arial" w:hAnsi="Arial" w:hint="default"/>
      </w:rPr>
    </w:lvl>
    <w:lvl w:ilvl="3" w:tplc="AE8A6DF2" w:tentative="1">
      <w:start w:val="1"/>
      <w:numFmt w:val="bullet"/>
      <w:lvlText w:val=""/>
      <w:lvlJc w:val="left"/>
      <w:pPr>
        <w:tabs>
          <w:tab w:val="num" w:pos="2880"/>
        </w:tabs>
        <w:ind w:left="2880" w:hanging="360"/>
      </w:pPr>
      <w:rPr>
        <w:rFonts w:ascii="Wingdings" w:hAnsi="Wingdings" w:hint="default"/>
      </w:rPr>
    </w:lvl>
    <w:lvl w:ilvl="4" w:tplc="6994D5A2" w:tentative="1">
      <w:start w:val="1"/>
      <w:numFmt w:val="bullet"/>
      <w:lvlText w:val=""/>
      <w:lvlJc w:val="left"/>
      <w:pPr>
        <w:tabs>
          <w:tab w:val="num" w:pos="3600"/>
        </w:tabs>
        <w:ind w:left="3600" w:hanging="360"/>
      </w:pPr>
      <w:rPr>
        <w:rFonts w:ascii="Wingdings" w:hAnsi="Wingdings" w:hint="default"/>
      </w:rPr>
    </w:lvl>
    <w:lvl w:ilvl="5" w:tplc="461E5DA8" w:tentative="1">
      <w:start w:val="1"/>
      <w:numFmt w:val="bullet"/>
      <w:lvlText w:val=""/>
      <w:lvlJc w:val="left"/>
      <w:pPr>
        <w:tabs>
          <w:tab w:val="num" w:pos="4320"/>
        </w:tabs>
        <w:ind w:left="4320" w:hanging="360"/>
      </w:pPr>
      <w:rPr>
        <w:rFonts w:ascii="Wingdings" w:hAnsi="Wingdings" w:hint="default"/>
      </w:rPr>
    </w:lvl>
    <w:lvl w:ilvl="6" w:tplc="6D3056F6" w:tentative="1">
      <w:start w:val="1"/>
      <w:numFmt w:val="bullet"/>
      <w:lvlText w:val=""/>
      <w:lvlJc w:val="left"/>
      <w:pPr>
        <w:tabs>
          <w:tab w:val="num" w:pos="5040"/>
        </w:tabs>
        <w:ind w:left="5040" w:hanging="360"/>
      </w:pPr>
      <w:rPr>
        <w:rFonts w:ascii="Wingdings" w:hAnsi="Wingdings" w:hint="default"/>
      </w:rPr>
    </w:lvl>
    <w:lvl w:ilvl="7" w:tplc="85B03210" w:tentative="1">
      <w:start w:val="1"/>
      <w:numFmt w:val="bullet"/>
      <w:lvlText w:val=""/>
      <w:lvlJc w:val="left"/>
      <w:pPr>
        <w:tabs>
          <w:tab w:val="num" w:pos="5760"/>
        </w:tabs>
        <w:ind w:left="5760" w:hanging="360"/>
      </w:pPr>
      <w:rPr>
        <w:rFonts w:ascii="Wingdings" w:hAnsi="Wingdings" w:hint="default"/>
      </w:rPr>
    </w:lvl>
    <w:lvl w:ilvl="8" w:tplc="EC1206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56CD7"/>
    <w:multiLevelType w:val="hybridMultilevel"/>
    <w:tmpl w:val="8EB65D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725786"/>
    <w:multiLevelType w:val="hybridMultilevel"/>
    <w:tmpl w:val="FFFAC0EE"/>
    <w:lvl w:ilvl="0" w:tplc="EB641096">
      <w:start w:val="1"/>
      <w:numFmt w:val="bullet"/>
      <w:lvlText w:val=""/>
      <w:lvlJc w:val="left"/>
      <w:pPr>
        <w:tabs>
          <w:tab w:val="num" w:pos="720"/>
        </w:tabs>
        <w:ind w:left="720" w:hanging="360"/>
      </w:pPr>
      <w:rPr>
        <w:rFonts w:ascii="Wingdings" w:hAnsi="Wingdings" w:hint="default"/>
      </w:rPr>
    </w:lvl>
    <w:lvl w:ilvl="1" w:tplc="C71C07CC">
      <w:start w:val="1"/>
      <w:numFmt w:val="bullet"/>
      <w:lvlText w:val=""/>
      <w:lvlJc w:val="left"/>
      <w:pPr>
        <w:tabs>
          <w:tab w:val="num" w:pos="1440"/>
        </w:tabs>
        <w:ind w:left="1440" w:hanging="360"/>
      </w:pPr>
      <w:rPr>
        <w:rFonts w:ascii="Wingdings" w:hAnsi="Wingdings" w:hint="default"/>
      </w:rPr>
    </w:lvl>
    <w:lvl w:ilvl="2" w:tplc="7030412A">
      <w:numFmt w:val="bullet"/>
      <w:lvlText w:val="•"/>
      <w:lvlJc w:val="left"/>
      <w:pPr>
        <w:tabs>
          <w:tab w:val="num" w:pos="2160"/>
        </w:tabs>
        <w:ind w:left="2160" w:hanging="360"/>
      </w:pPr>
      <w:rPr>
        <w:rFonts w:ascii="Arial" w:hAnsi="Arial" w:hint="default"/>
      </w:rPr>
    </w:lvl>
    <w:lvl w:ilvl="3" w:tplc="7B2A93DC" w:tentative="1">
      <w:start w:val="1"/>
      <w:numFmt w:val="bullet"/>
      <w:lvlText w:val=""/>
      <w:lvlJc w:val="left"/>
      <w:pPr>
        <w:tabs>
          <w:tab w:val="num" w:pos="2880"/>
        </w:tabs>
        <w:ind w:left="2880" w:hanging="360"/>
      </w:pPr>
      <w:rPr>
        <w:rFonts w:ascii="Wingdings" w:hAnsi="Wingdings" w:hint="default"/>
      </w:rPr>
    </w:lvl>
    <w:lvl w:ilvl="4" w:tplc="F6EA2C14" w:tentative="1">
      <w:start w:val="1"/>
      <w:numFmt w:val="bullet"/>
      <w:lvlText w:val=""/>
      <w:lvlJc w:val="left"/>
      <w:pPr>
        <w:tabs>
          <w:tab w:val="num" w:pos="3600"/>
        </w:tabs>
        <w:ind w:left="3600" w:hanging="360"/>
      </w:pPr>
      <w:rPr>
        <w:rFonts w:ascii="Wingdings" w:hAnsi="Wingdings" w:hint="default"/>
      </w:rPr>
    </w:lvl>
    <w:lvl w:ilvl="5" w:tplc="5FCEC9A6" w:tentative="1">
      <w:start w:val="1"/>
      <w:numFmt w:val="bullet"/>
      <w:lvlText w:val=""/>
      <w:lvlJc w:val="left"/>
      <w:pPr>
        <w:tabs>
          <w:tab w:val="num" w:pos="4320"/>
        </w:tabs>
        <w:ind w:left="4320" w:hanging="360"/>
      </w:pPr>
      <w:rPr>
        <w:rFonts w:ascii="Wingdings" w:hAnsi="Wingdings" w:hint="default"/>
      </w:rPr>
    </w:lvl>
    <w:lvl w:ilvl="6" w:tplc="9C2846EA" w:tentative="1">
      <w:start w:val="1"/>
      <w:numFmt w:val="bullet"/>
      <w:lvlText w:val=""/>
      <w:lvlJc w:val="left"/>
      <w:pPr>
        <w:tabs>
          <w:tab w:val="num" w:pos="5040"/>
        </w:tabs>
        <w:ind w:left="5040" w:hanging="360"/>
      </w:pPr>
      <w:rPr>
        <w:rFonts w:ascii="Wingdings" w:hAnsi="Wingdings" w:hint="default"/>
      </w:rPr>
    </w:lvl>
    <w:lvl w:ilvl="7" w:tplc="0E08B910" w:tentative="1">
      <w:start w:val="1"/>
      <w:numFmt w:val="bullet"/>
      <w:lvlText w:val=""/>
      <w:lvlJc w:val="left"/>
      <w:pPr>
        <w:tabs>
          <w:tab w:val="num" w:pos="5760"/>
        </w:tabs>
        <w:ind w:left="5760" w:hanging="360"/>
      </w:pPr>
      <w:rPr>
        <w:rFonts w:ascii="Wingdings" w:hAnsi="Wingdings" w:hint="default"/>
      </w:rPr>
    </w:lvl>
    <w:lvl w:ilvl="8" w:tplc="1FCAEB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D1CD9"/>
    <w:multiLevelType w:val="hybridMultilevel"/>
    <w:tmpl w:val="E2EC3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C665E6"/>
    <w:multiLevelType w:val="hybridMultilevel"/>
    <w:tmpl w:val="DACA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90616"/>
    <w:multiLevelType w:val="hybridMultilevel"/>
    <w:tmpl w:val="6DDE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D5CAB"/>
    <w:multiLevelType w:val="hybridMultilevel"/>
    <w:tmpl w:val="8EE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F29DF"/>
    <w:multiLevelType w:val="hybridMultilevel"/>
    <w:tmpl w:val="094E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B42288"/>
    <w:multiLevelType w:val="hybridMultilevel"/>
    <w:tmpl w:val="676ABB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C6D77"/>
    <w:multiLevelType w:val="hybridMultilevel"/>
    <w:tmpl w:val="6CC8B2E6"/>
    <w:lvl w:ilvl="0" w:tplc="BD0AD124">
      <w:start w:val="1"/>
      <w:numFmt w:val="bullet"/>
      <w:lvlText w:val="•"/>
      <w:lvlJc w:val="left"/>
      <w:pPr>
        <w:tabs>
          <w:tab w:val="num" w:pos="720"/>
        </w:tabs>
        <w:ind w:left="720" w:hanging="360"/>
      </w:pPr>
      <w:rPr>
        <w:rFonts w:ascii="Arial" w:hAnsi="Arial" w:hint="default"/>
      </w:rPr>
    </w:lvl>
    <w:lvl w:ilvl="1" w:tplc="F5568830" w:tentative="1">
      <w:start w:val="1"/>
      <w:numFmt w:val="bullet"/>
      <w:lvlText w:val="•"/>
      <w:lvlJc w:val="left"/>
      <w:pPr>
        <w:tabs>
          <w:tab w:val="num" w:pos="1440"/>
        </w:tabs>
        <w:ind w:left="1440" w:hanging="360"/>
      </w:pPr>
      <w:rPr>
        <w:rFonts w:ascii="Arial" w:hAnsi="Arial" w:hint="default"/>
      </w:rPr>
    </w:lvl>
    <w:lvl w:ilvl="2" w:tplc="155E3DA8">
      <w:start w:val="1"/>
      <w:numFmt w:val="bullet"/>
      <w:lvlText w:val="•"/>
      <w:lvlJc w:val="left"/>
      <w:pPr>
        <w:tabs>
          <w:tab w:val="num" w:pos="2160"/>
        </w:tabs>
        <w:ind w:left="2160" w:hanging="360"/>
      </w:pPr>
      <w:rPr>
        <w:rFonts w:ascii="Arial" w:hAnsi="Arial" w:hint="default"/>
      </w:rPr>
    </w:lvl>
    <w:lvl w:ilvl="3" w:tplc="CDF2316C" w:tentative="1">
      <w:start w:val="1"/>
      <w:numFmt w:val="bullet"/>
      <w:lvlText w:val="•"/>
      <w:lvlJc w:val="left"/>
      <w:pPr>
        <w:tabs>
          <w:tab w:val="num" w:pos="2880"/>
        </w:tabs>
        <w:ind w:left="2880" w:hanging="360"/>
      </w:pPr>
      <w:rPr>
        <w:rFonts w:ascii="Arial" w:hAnsi="Arial" w:hint="default"/>
      </w:rPr>
    </w:lvl>
    <w:lvl w:ilvl="4" w:tplc="8C6EC490" w:tentative="1">
      <w:start w:val="1"/>
      <w:numFmt w:val="bullet"/>
      <w:lvlText w:val="•"/>
      <w:lvlJc w:val="left"/>
      <w:pPr>
        <w:tabs>
          <w:tab w:val="num" w:pos="3600"/>
        </w:tabs>
        <w:ind w:left="3600" w:hanging="360"/>
      </w:pPr>
      <w:rPr>
        <w:rFonts w:ascii="Arial" w:hAnsi="Arial" w:hint="default"/>
      </w:rPr>
    </w:lvl>
    <w:lvl w:ilvl="5" w:tplc="8180A128" w:tentative="1">
      <w:start w:val="1"/>
      <w:numFmt w:val="bullet"/>
      <w:lvlText w:val="•"/>
      <w:lvlJc w:val="left"/>
      <w:pPr>
        <w:tabs>
          <w:tab w:val="num" w:pos="4320"/>
        </w:tabs>
        <w:ind w:left="4320" w:hanging="360"/>
      </w:pPr>
      <w:rPr>
        <w:rFonts w:ascii="Arial" w:hAnsi="Arial" w:hint="default"/>
      </w:rPr>
    </w:lvl>
    <w:lvl w:ilvl="6" w:tplc="1098033E" w:tentative="1">
      <w:start w:val="1"/>
      <w:numFmt w:val="bullet"/>
      <w:lvlText w:val="•"/>
      <w:lvlJc w:val="left"/>
      <w:pPr>
        <w:tabs>
          <w:tab w:val="num" w:pos="5040"/>
        </w:tabs>
        <w:ind w:left="5040" w:hanging="360"/>
      </w:pPr>
      <w:rPr>
        <w:rFonts w:ascii="Arial" w:hAnsi="Arial" w:hint="default"/>
      </w:rPr>
    </w:lvl>
    <w:lvl w:ilvl="7" w:tplc="DEB6ADC2" w:tentative="1">
      <w:start w:val="1"/>
      <w:numFmt w:val="bullet"/>
      <w:lvlText w:val="•"/>
      <w:lvlJc w:val="left"/>
      <w:pPr>
        <w:tabs>
          <w:tab w:val="num" w:pos="5760"/>
        </w:tabs>
        <w:ind w:left="5760" w:hanging="360"/>
      </w:pPr>
      <w:rPr>
        <w:rFonts w:ascii="Arial" w:hAnsi="Arial" w:hint="default"/>
      </w:rPr>
    </w:lvl>
    <w:lvl w:ilvl="8" w:tplc="8C668B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2F69D1"/>
    <w:multiLevelType w:val="hybridMultilevel"/>
    <w:tmpl w:val="69BCB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1481D"/>
    <w:multiLevelType w:val="hybridMultilevel"/>
    <w:tmpl w:val="7AD8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C281E"/>
    <w:multiLevelType w:val="hybridMultilevel"/>
    <w:tmpl w:val="A68A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B17BA"/>
    <w:multiLevelType w:val="hybridMultilevel"/>
    <w:tmpl w:val="C696F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91500"/>
    <w:multiLevelType w:val="hybridMultilevel"/>
    <w:tmpl w:val="84B2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C74BB"/>
    <w:multiLevelType w:val="multilevel"/>
    <w:tmpl w:val="D188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AA0210"/>
    <w:multiLevelType w:val="hybridMultilevel"/>
    <w:tmpl w:val="AD60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C4D78"/>
    <w:multiLevelType w:val="hybridMultilevel"/>
    <w:tmpl w:val="70D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D0451"/>
    <w:multiLevelType w:val="hybridMultilevel"/>
    <w:tmpl w:val="AD00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3625F"/>
    <w:multiLevelType w:val="hybridMultilevel"/>
    <w:tmpl w:val="3C4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076CF"/>
    <w:multiLevelType w:val="hybridMultilevel"/>
    <w:tmpl w:val="4BE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62340"/>
    <w:multiLevelType w:val="hybridMultilevel"/>
    <w:tmpl w:val="0CAE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F50EC"/>
    <w:multiLevelType w:val="hybridMultilevel"/>
    <w:tmpl w:val="620E3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0"/>
  </w:num>
  <w:num w:numId="4">
    <w:abstractNumId w:val="17"/>
  </w:num>
  <w:num w:numId="5">
    <w:abstractNumId w:val="23"/>
  </w:num>
  <w:num w:numId="6">
    <w:abstractNumId w:val="1"/>
  </w:num>
  <w:num w:numId="7">
    <w:abstractNumId w:val="15"/>
  </w:num>
  <w:num w:numId="8">
    <w:abstractNumId w:val="8"/>
  </w:num>
  <w:num w:numId="9">
    <w:abstractNumId w:val="4"/>
  </w:num>
  <w:num w:numId="10">
    <w:abstractNumId w:val="6"/>
  </w:num>
  <w:num w:numId="11">
    <w:abstractNumId w:val="29"/>
  </w:num>
  <w:num w:numId="12">
    <w:abstractNumId w:val="27"/>
  </w:num>
  <w:num w:numId="13">
    <w:abstractNumId w:val="7"/>
  </w:num>
  <w:num w:numId="14">
    <w:abstractNumId w:val="32"/>
  </w:num>
  <w:num w:numId="15">
    <w:abstractNumId w:val="11"/>
  </w:num>
  <w:num w:numId="16">
    <w:abstractNumId w:val="14"/>
  </w:num>
  <w:num w:numId="17">
    <w:abstractNumId w:val="28"/>
  </w:num>
  <w:num w:numId="18">
    <w:abstractNumId w:val="0"/>
  </w:num>
  <w:num w:numId="19">
    <w:abstractNumId w:val="22"/>
  </w:num>
  <w:num w:numId="20">
    <w:abstractNumId w:val="30"/>
  </w:num>
  <w:num w:numId="21">
    <w:abstractNumId w:val="5"/>
  </w:num>
  <w:num w:numId="22">
    <w:abstractNumId w:val="3"/>
  </w:num>
  <w:num w:numId="23">
    <w:abstractNumId w:val="31"/>
  </w:num>
  <w:num w:numId="24">
    <w:abstractNumId w:val="21"/>
  </w:num>
  <w:num w:numId="25">
    <w:abstractNumId w:val="16"/>
  </w:num>
  <w:num w:numId="26">
    <w:abstractNumId w:val="19"/>
  </w:num>
  <w:num w:numId="27">
    <w:abstractNumId w:val="10"/>
  </w:num>
  <w:num w:numId="28">
    <w:abstractNumId w:val="2"/>
  </w:num>
  <w:num w:numId="29">
    <w:abstractNumId w:val="26"/>
  </w:num>
  <w:num w:numId="30">
    <w:abstractNumId w:val="12"/>
  </w:num>
  <w:num w:numId="31">
    <w:abstractNumId w:val="13"/>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61"/>
    <w:rsid w:val="000217E2"/>
    <w:rsid w:val="00040F24"/>
    <w:rsid w:val="00043D1E"/>
    <w:rsid w:val="00066368"/>
    <w:rsid w:val="00087351"/>
    <w:rsid w:val="000A2994"/>
    <w:rsid w:val="000B4211"/>
    <w:rsid w:val="000B55C5"/>
    <w:rsid w:val="001257E9"/>
    <w:rsid w:val="001270F1"/>
    <w:rsid w:val="00167262"/>
    <w:rsid w:val="00173065"/>
    <w:rsid w:val="00174764"/>
    <w:rsid w:val="00184990"/>
    <w:rsid w:val="001B5A31"/>
    <w:rsid w:val="001B7608"/>
    <w:rsid w:val="001B7D6B"/>
    <w:rsid w:val="001D2547"/>
    <w:rsid w:val="001F7D1E"/>
    <w:rsid w:val="00234822"/>
    <w:rsid w:val="00252AA9"/>
    <w:rsid w:val="00266A88"/>
    <w:rsid w:val="00272A5B"/>
    <w:rsid w:val="00283FED"/>
    <w:rsid w:val="00290056"/>
    <w:rsid w:val="00290656"/>
    <w:rsid w:val="002933CD"/>
    <w:rsid w:val="00296F03"/>
    <w:rsid w:val="002A28C6"/>
    <w:rsid w:val="002A3C78"/>
    <w:rsid w:val="002C1490"/>
    <w:rsid w:val="002F05C9"/>
    <w:rsid w:val="00304A4C"/>
    <w:rsid w:val="00306155"/>
    <w:rsid w:val="003076F3"/>
    <w:rsid w:val="00346DA9"/>
    <w:rsid w:val="00374987"/>
    <w:rsid w:val="0037596B"/>
    <w:rsid w:val="003E0206"/>
    <w:rsid w:val="003E60A5"/>
    <w:rsid w:val="003E797F"/>
    <w:rsid w:val="00404208"/>
    <w:rsid w:val="00426A9F"/>
    <w:rsid w:val="00430D17"/>
    <w:rsid w:val="00482E06"/>
    <w:rsid w:val="00491038"/>
    <w:rsid w:val="004D7B80"/>
    <w:rsid w:val="004E1510"/>
    <w:rsid w:val="004E7B55"/>
    <w:rsid w:val="005122C1"/>
    <w:rsid w:val="00513524"/>
    <w:rsid w:val="00526E10"/>
    <w:rsid w:val="00540EE6"/>
    <w:rsid w:val="00541AAE"/>
    <w:rsid w:val="00546C1E"/>
    <w:rsid w:val="005478CD"/>
    <w:rsid w:val="00554EF2"/>
    <w:rsid w:val="0055569C"/>
    <w:rsid w:val="00562852"/>
    <w:rsid w:val="00562AD4"/>
    <w:rsid w:val="00570778"/>
    <w:rsid w:val="00587702"/>
    <w:rsid w:val="005C7447"/>
    <w:rsid w:val="005E6266"/>
    <w:rsid w:val="00601C45"/>
    <w:rsid w:val="00607638"/>
    <w:rsid w:val="006120BA"/>
    <w:rsid w:val="0061709F"/>
    <w:rsid w:val="0065121B"/>
    <w:rsid w:val="006636D8"/>
    <w:rsid w:val="00664562"/>
    <w:rsid w:val="006A6580"/>
    <w:rsid w:val="006B1902"/>
    <w:rsid w:val="006C226B"/>
    <w:rsid w:val="006D416A"/>
    <w:rsid w:val="006D6F43"/>
    <w:rsid w:val="006F0981"/>
    <w:rsid w:val="006F3C4A"/>
    <w:rsid w:val="00723741"/>
    <w:rsid w:val="007247C6"/>
    <w:rsid w:val="00725384"/>
    <w:rsid w:val="00735B1A"/>
    <w:rsid w:val="00755957"/>
    <w:rsid w:val="007707A9"/>
    <w:rsid w:val="00774F89"/>
    <w:rsid w:val="007778CF"/>
    <w:rsid w:val="007A3092"/>
    <w:rsid w:val="007A30F8"/>
    <w:rsid w:val="007B2E9F"/>
    <w:rsid w:val="007C5EA4"/>
    <w:rsid w:val="007D4BC6"/>
    <w:rsid w:val="007E3DC4"/>
    <w:rsid w:val="007F6632"/>
    <w:rsid w:val="0081042B"/>
    <w:rsid w:val="00811614"/>
    <w:rsid w:val="00835AC9"/>
    <w:rsid w:val="00836528"/>
    <w:rsid w:val="008378F5"/>
    <w:rsid w:val="008417C2"/>
    <w:rsid w:val="008600AB"/>
    <w:rsid w:val="008809E3"/>
    <w:rsid w:val="008A1A28"/>
    <w:rsid w:val="008A251A"/>
    <w:rsid w:val="008B3CB2"/>
    <w:rsid w:val="008E6474"/>
    <w:rsid w:val="00914AD5"/>
    <w:rsid w:val="009246EC"/>
    <w:rsid w:val="00924F6A"/>
    <w:rsid w:val="00930D18"/>
    <w:rsid w:val="00962E53"/>
    <w:rsid w:val="00981340"/>
    <w:rsid w:val="0099492F"/>
    <w:rsid w:val="0099551A"/>
    <w:rsid w:val="009A25C9"/>
    <w:rsid w:val="009A3225"/>
    <w:rsid w:val="009A5BBD"/>
    <w:rsid w:val="009B2CC7"/>
    <w:rsid w:val="009C7EA7"/>
    <w:rsid w:val="009E0D3B"/>
    <w:rsid w:val="00A0079E"/>
    <w:rsid w:val="00A01DC3"/>
    <w:rsid w:val="00A05CFC"/>
    <w:rsid w:val="00A12A5C"/>
    <w:rsid w:val="00A13061"/>
    <w:rsid w:val="00A42C8C"/>
    <w:rsid w:val="00A66B2B"/>
    <w:rsid w:val="00A7215F"/>
    <w:rsid w:val="00A73961"/>
    <w:rsid w:val="00A73AB9"/>
    <w:rsid w:val="00A96514"/>
    <w:rsid w:val="00AA2B61"/>
    <w:rsid w:val="00AA718B"/>
    <w:rsid w:val="00AD3AA4"/>
    <w:rsid w:val="00AE12CC"/>
    <w:rsid w:val="00AE16AC"/>
    <w:rsid w:val="00AF0D21"/>
    <w:rsid w:val="00AF7442"/>
    <w:rsid w:val="00B1214E"/>
    <w:rsid w:val="00B2291F"/>
    <w:rsid w:val="00B35DF8"/>
    <w:rsid w:val="00B37BC9"/>
    <w:rsid w:val="00B42A65"/>
    <w:rsid w:val="00B62B80"/>
    <w:rsid w:val="00B8030B"/>
    <w:rsid w:val="00B80E37"/>
    <w:rsid w:val="00B874C8"/>
    <w:rsid w:val="00BA7F8E"/>
    <w:rsid w:val="00C24036"/>
    <w:rsid w:val="00C540F8"/>
    <w:rsid w:val="00C97C96"/>
    <w:rsid w:val="00CA69B9"/>
    <w:rsid w:val="00CB4372"/>
    <w:rsid w:val="00CE37E1"/>
    <w:rsid w:val="00CF400C"/>
    <w:rsid w:val="00D302B7"/>
    <w:rsid w:val="00D376A1"/>
    <w:rsid w:val="00D4566B"/>
    <w:rsid w:val="00D47229"/>
    <w:rsid w:val="00D5237C"/>
    <w:rsid w:val="00D867F1"/>
    <w:rsid w:val="00D94417"/>
    <w:rsid w:val="00DA21A3"/>
    <w:rsid w:val="00DA2960"/>
    <w:rsid w:val="00DA412B"/>
    <w:rsid w:val="00DA43A9"/>
    <w:rsid w:val="00DC11A0"/>
    <w:rsid w:val="00DE0115"/>
    <w:rsid w:val="00DE37D2"/>
    <w:rsid w:val="00E01F15"/>
    <w:rsid w:val="00E0584B"/>
    <w:rsid w:val="00E2625C"/>
    <w:rsid w:val="00E3764B"/>
    <w:rsid w:val="00E84150"/>
    <w:rsid w:val="00E8652C"/>
    <w:rsid w:val="00EA1435"/>
    <w:rsid w:val="00EA1944"/>
    <w:rsid w:val="00EA57D2"/>
    <w:rsid w:val="00EC072A"/>
    <w:rsid w:val="00ED001C"/>
    <w:rsid w:val="00ED6AF8"/>
    <w:rsid w:val="00EE4576"/>
    <w:rsid w:val="00EE5E23"/>
    <w:rsid w:val="00F11B28"/>
    <w:rsid w:val="00F2270C"/>
    <w:rsid w:val="00F27566"/>
    <w:rsid w:val="00F41112"/>
    <w:rsid w:val="00F505AB"/>
    <w:rsid w:val="00F51E6F"/>
    <w:rsid w:val="00F91119"/>
    <w:rsid w:val="00F92A95"/>
    <w:rsid w:val="00FA53AF"/>
    <w:rsid w:val="00FD7246"/>
    <w:rsid w:val="00FF053A"/>
    <w:rsid w:val="00FF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BC12"/>
  <w15:chartTrackingRefBased/>
  <w15:docId w15:val="{81B0E533-6CBF-49F1-8CC7-841F8E85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61"/>
    <w:pPr>
      <w:spacing w:after="120"/>
    </w:pPr>
    <w:rPr>
      <w:rFonts w:ascii="Times New Roman" w:eastAsia="Calibri" w:hAnsi="Times New Roman" w:cs="Times New Roman"/>
    </w:rPr>
  </w:style>
  <w:style w:type="paragraph" w:styleId="Heading1">
    <w:name w:val="heading 1"/>
    <w:basedOn w:val="Normal"/>
    <w:next w:val="Normal"/>
    <w:link w:val="Heading1Char"/>
    <w:uiPriority w:val="99"/>
    <w:qFormat/>
    <w:rsid w:val="00A13061"/>
    <w:pPr>
      <w:keepNext/>
      <w:keepLines/>
      <w:widowControl w:val="0"/>
      <w:spacing w:before="280" w:after="210" w:line="480" w:lineRule="exact"/>
      <w:outlineLvl w:val="0"/>
    </w:pPr>
    <w:rPr>
      <w:rFonts w:ascii="Georgia" w:hAnsi="Georgia"/>
      <w:b/>
      <w:bCs/>
      <w:i/>
      <w:iCs/>
      <w:sz w:val="36"/>
      <w:szCs w:val="36"/>
    </w:rPr>
  </w:style>
  <w:style w:type="paragraph" w:styleId="Heading2">
    <w:name w:val="heading 2"/>
    <w:basedOn w:val="Normal"/>
    <w:next w:val="Normal"/>
    <w:link w:val="Heading2Char"/>
    <w:autoRedefine/>
    <w:uiPriority w:val="99"/>
    <w:qFormat/>
    <w:rsid w:val="00A13061"/>
    <w:pPr>
      <w:keepNext/>
      <w:keepLines/>
      <w:widowControl w:val="0"/>
      <w:spacing w:before="240" w:after="190"/>
      <w:outlineLvl w:val="1"/>
    </w:pPr>
    <w:rPr>
      <w:rFonts w:ascii="Georgia" w:hAnsi="Georgia"/>
      <w:b/>
      <w:bCs/>
      <w:sz w:val="28"/>
      <w:szCs w:val="28"/>
    </w:rPr>
  </w:style>
  <w:style w:type="paragraph" w:styleId="Heading6">
    <w:name w:val="heading 6"/>
    <w:basedOn w:val="Normal"/>
    <w:next w:val="Normal"/>
    <w:link w:val="Heading6Char"/>
    <w:uiPriority w:val="99"/>
    <w:qFormat/>
    <w:rsid w:val="00A13061"/>
    <w:pPr>
      <w:keepNext/>
      <w:spacing w:line="480" w:lineRule="auto"/>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061"/>
    <w:rPr>
      <w:rFonts w:ascii="Georgia" w:eastAsia="Calibri" w:hAnsi="Georgia" w:cs="Times New Roman"/>
      <w:b/>
      <w:bCs/>
      <w:i/>
      <w:iCs/>
      <w:sz w:val="36"/>
      <w:szCs w:val="36"/>
    </w:rPr>
  </w:style>
  <w:style w:type="character" w:customStyle="1" w:styleId="Heading2Char">
    <w:name w:val="Heading 2 Char"/>
    <w:basedOn w:val="DefaultParagraphFont"/>
    <w:link w:val="Heading2"/>
    <w:uiPriority w:val="99"/>
    <w:rsid w:val="00A13061"/>
    <w:rPr>
      <w:rFonts w:ascii="Georgia" w:eastAsia="Calibri" w:hAnsi="Georgia" w:cs="Times New Roman"/>
      <w:b/>
      <w:bCs/>
      <w:sz w:val="28"/>
      <w:szCs w:val="28"/>
    </w:rPr>
  </w:style>
  <w:style w:type="character" w:customStyle="1" w:styleId="Heading6Char">
    <w:name w:val="Heading 6 Char"/>
    <w:basedOn w:val="DefaultParagraphFont"/>
    <w:link w:val="Heading6"/>
    <w:uiPriority w:val="99"/>
    <w:rsid w:val="00A13061"/>
    <w:rPr>
      <w:rFonts w:ascii="Times New Roman" w:eastAsia="Calibri" w:hAnsi="Times New Roman" w:cs="Times New Roman"/>
      <w:b/>
      <w:bCs/>
    </w:rPr>
  </w:style>
  <w:style w:type="character" w:styleId="Hyperlink">
    <w:name w:val="Hyperlink"/>
    <w:basedOn w:val="DefaultParagraphFont"/>
    <w:uiPriority w:val="99"/>
    <w:rsid w:val="00A13061"/>
    <w:rPr>
      <w:rFonts w:cs="Times New Roman"/>
      <w:color w:val="0000FF"/>
      <w:u w:val="single"/>
    </w:rPr>
  </w:style>
  <w:style w:type="paragraph" w:styleId="ListParagraph">
    <w:name w:val="List Paragraph"/>
    <w:basedOn w:val="Normal"/>
    <w:uiPriority w:val="34"/>
    <w:qFormat/>
    <w:rsid w:val="00A13061"/>
    <w:pPr>
      <w:ind w:left="720"/>
      <w:contextualSpacing/>
    </w:pPr>
  </w:style>
  <w:style w:type="table" w:styleId="TableGrid">
    <w:name w:val="Table Grid"/>
    <w:basedOn w:val="TableNormal"/>
    <w:uiPriority w:val="99"/>
    <w:rsid w:val="00A13061"/>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2A5B"/>
    <w:rPr>
      <w:color w:val="800080" w:themeColor="followedHyperlink"/>
      <w:u w:val="single"/>
    </w:rPr>
  </w:style>
  <w:style w:type="character" w:styleId="UnresolvedMention">
    <w:name w:val="Unresolved Mention"/>
    <w:basedOn w:val="DefaultParagraphFont"/>
    <w:uiPriority w:val="99"/>
    <w:semiHidden/>
    <w:unhideWhenUsed/>
    <w:rsid w:val="007A3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389">
      <w:bodyDiv w:val="1"/>
      <w:marLeft w:val="0"/>
      <w:marRight w:val="0"/>
      <w:marTop w:val="0"/>
      <w:marBottom w:val="0"/>
      <w:divBdr>
        <w:top w:val="none" w:sz="0" w:space="0" w:color="auto"/>
        <w:left w:val="none" w:sz="0" w:space="0" w:color="auto"/>
        <w:bottom w:val="none" w:sz="0" w:space="0" w:color="auto"/>
        <w:right w:val="none" w:sz="0" w:space="0" w:color="auto"/>
      </w:divBdr>
      <w:divsChild>
        <w:div w:id="864757122">
          <w:marLeft w:val="1267"/>
          <w:marRight w:val="0"/>
          <w:marTop w:val="0"/>
          <w:marBottom w:val="0"/>
          <w:divBdr>
            <w:top w:val="none" w:sz="0" w:space="0" w:color="auto"/>
            <w:left w:val="none" w:sz="0" w:space="0" w:color="auto"/>
            <w:bottom w:val="none" w:sz="0" w:space="0" w:color="auto"/>
            <w:right w:val="none" w:sz="0" w:space="0" w:color="auto"/>
          </w:divBdr>
        </w:div>
        <w:div w:id="488638077">
          <w:marLeft w:val="1886"/>
          <w:marRight w:val="0"/>
          <w:marTop w:val="0"/>
          <w:marBottom w:val="0"/>
          <w:divBdr>
            <w:top w:val="none" w:sz="0" w:space="0" w:color="auto"/>
            <w:left w:val="none" w:sz="0" w:space="0" w:color="auto"/>
            <w:bottom w:val="none" w:sz="0" w:space="0" w:color="auto"/>
            <w:right w:val="none" w:sz="0" w:space="0" w:color="auto"/>
          </w:divBdr>
        </w:div>
        <w:div w:id="283194308">
          <w:marLeft w:val="1886"/>
          <w:marRight w:val="0"/>
          <w:marTop w:val="0"/>
          <w:marBottom w:val="0"/>
          <w:divBdr>
            <w:top w:val="none" w:sz="0" w:space="0" w:color="auto"/>
            <w:left w:val="none" w:sz="0" w:space="0" w:color="auto"/>
            <w:bottom w:val="none" w:sz="0" w:space="0" w:color="auto"/>
            <w:right w:val="none" w:sz="0" w:space="0" w:color="auto"/>
          </w:divBdr>
        </w:div>
        <w:div w:id="602107594">
          <w:marLeft w:val="1886"/>
          <w:marRight w:val="0"/>
          <w:marTop w:val="0"/>
          <w:marBottom w:val="0"/>
          <w:divBdr>
            <w:top w:val="none" w:sz="0" w:space="0" w:color="auto"/>
            <w:left w:val="none" w:sz="0" w:space="0" w:color="auto"/>
            <w:bottom w:val="none" w:sz="0" w:space="0" w:color="auto"/>
            <w:right w:val="none" w:sz="0" w:space="0" w:color="auto"/>
          </w:divBdr>
        </w:div>
        <w:div w:id="1352532352">
          <w:marLeft w:val="1886"/>
          <w:marRight w:val="0"/>
          <w:marTop w:val="0"/>
          <w:marBottom w:val="0"/>
          <w:divBdr>
            <w:top w:val="none" w:sz="0" w:space="0" w:color="auto"/>
            <w:left w:val="none" w:sz="0" w:space="0" w:color="auto"/>
            <w:bottom w:val="none" w:sz="0" w:space="0" w:color="auto"/>
            <w:right w:val="none" w:sz="0" w:space="0" w:color="auto"/>
          </w:divBdr>
        </w:div>
      </w:divsChild>
    </w:div>
    <w:div w:id="173153266">
      <w:bodyDiv w:val="1"/>
      <w:marLeft w:val="0"/>
      <w:marRight w:val="0"/>
      <w:marTop w:val="0"/>
      <w:marBottom w:val="0"/>
      <w:divBdr>
        <w:top w:val="none" w:sz="0" w:space="0" w:color="auto"/>
        <w:left w:val="none" w:sz="0" w:space="0" w:color="auto"/>
        <w:bottom w:val="none" w:sz="0" w:space="0" w:color="auto"/>
        <w:right w:val="none" w:sz="0" w:space="0" w:color="auto"/>
      </w:divBdr>
    </w:div>
    <w:div w:id="851920753">
      <w:bodyDiv w:val="1"/>
      <w:marLeft w:val="0"/>
      <w:marRight w:val="0"/>
      <w:marTop w:val="0"/>
      <w:marBottom w:val="0"/>
      <w:divBdr>
        <w:top w:val="none" w:sz="0" w:space="0" w:color="auto"/>
        <w:left w:val="none" w:sz="0" w:space="0" w:color="auto"/>
        <w:bottom w:val="none" w:sz="0" w:space="0" w:color="auto"/>
        <w:right w:val="none" w:sz="0" w:space="0" w:color="auto"/>
      </w:divBdr>
      <w:divsChild>
        <w:div w:id="1610355971">
          <w:marLeft w:val="1267"/>
          <w:marRight w:val="0"/>
          <w:marTop w:val="0"/>
          <w:marBottom w:val="0"/>
          <w:divBdr>
            <w:top w:val="none" w:sz="0" w:space="0" w:color="auto"/>
            <w:left w:val="none" w:sz="0" w:space="0" w:color="auto"/>
            <w:bottom w:val="none" w:sz="0" w:space="0" w:color="auto"/>
            <w:right w:val="none" w:sz="0" w:space="0" w:color="auto"/>
          </w:divBdr>
        </w:div>
        <w:div w:id="1746033125">
          <w:marLeft w:val="1886"/>
          <w:marRight w:val="0"/>
          <w:marTop w:val="0"/>
          <w:marBottom w:val="0"/>
          <w:divBdr>
            <w:top w:val="none" w:sz="0" w:space="0" w:color="auto"/>
            <w:left w:val="none" w:sz="0" w:space="0" w:color="auto"/>
            <w:bottom w:val="none" w:sz="0" w:space="0" w:color="auto"/>
            <w:right w:val="none" w:sz="0" w:space="0" w:color="auto"/>
          </w:divBdr>
        </w:div>
        <w:div w:id="1393306321">
          <w:marLeft w:val="1886"/>
          <w:marRight w:val="0"/>
          <w:marTop w:val="0"/>
          <w:marBottom w:val="0"/>
          <w:divBdr>
            <w:top w:val="none" w:sz="0" w:space="0" w:color="auto"/>
            <w:left w:val="none" w:sz="0" w:space="0" w:color="auto"/>
            <w:bottom w:val="none" w:sz="0" w:space="0" w:color="auto"/>
            <w:right w:val="none" w:sz="0" w:space="0" w:color="auto"/>
          </w:divBdr>
        </w:div>
      </w:divsChild>
    </w:div>
    <w:div w:id="1275166458">
      <w:bodyDiv w:val="1"/>
      <w:marLeft w:val="0"/>
      <w:marRight w:val="0"/>
      <w:marTop w:val="0"/>
      <w:marBottom w:val="0"/>
      <w:divBdr>
        <w:top w:val="none" w:sz="0" w:space="0" w:color="auto"/>
        <w:left w:val="none" w:sz="0" w:space="0" w:color="auto"/>
        <w:bottom w:val="none" w:sz="0" w:space="0" w:color="auto"/>
        <w:right w:val="none" w:sz="0" w:space="0" w:color="auto"/>
      </w:divBdr>
      <w:divsChild>
        <w:div w:id="1098673266">
          <w:marLeft w:val="1886"/>
          <w:marRight w:val="0"/>
          <w:marTop w:val="0"/>
          <w:marBottom w:val="0"/>
          <w:divBdr>
            <w:top w:val="none" w:sz="0" w:space="0" w:color="auto"/>
            <w:left w:val="none" w:sz="0" w:space="0" w:color="auto"/>
            <w:bottom w:val="none" w:sz="0" w:space="0" w:color="auto"/>
            <w:right w:val="none" w:sz="0" w:space="0" w:color="auto"/>
          </w:divBdr>
        </w:div>
        <w:div w:id="1020085121">
          <w:marLeft w:val="1886"/>
          <w:marRight w:val="0"/>
          <w:marTop w:val="0"/>
          <w:marBottom w:val="0"/>
          <w:divBdr>
            <w:top w:val="none" w:sz="0" w:space="0" w:color="auto"/>
            <w:left w:val="none" w:sz="0" w:space="0" w:color="auto"/>
            <w:bottom w:val="none" w:sz="0" w:space="0" w:color="auto"/>
            <w:right w:val="none" w:sz="0" w:space="0" w:color="auto"/>
          </w:divBdr>
        </w:div>
        <w:div w:id="1097020965">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drop/rp-22-13.pdf" TargetMode="External"/><Relationship Id="rId13" Type="http://schemas.openxmlformats.org/officeDocument/2006/relationships/hyperlink" Target="https://www.fema.gov/disaster/declarations" TargetMode="External"/><Relationship Id="rId18" Type="http://schemas.openxmlformats.org/officeDocument/2006/relationships/hyperlink" Target="https://www.irs.gov/newsroom/tax-relief-in-disaster-situations" TargetMode="External"/><Relationship Id="rId3" Type="http://schemas.openxmlformats.org/officeDocument/2006/relationships/settings" Target="settings.xml"/><Relationship Id="rId7" Type="http://schemas.openxmlformats.org/officeDocument/2006/relationships/hyperlink" Target="https://www.irs.gov/pub/irs-drop/rp-22-14.pdf" TargetMode="External"/><Relationship Id="rId12" Type="http://schemas.openxmlformats.org/officeDocument/2006/relationships/hyperlink" Target="https://www.irs.gov/pub/irs-drop/n-21-64.pdf" TargetMode="External"/><Relationship Id="rId17" Type="http://schemas.openxmlformats.org/officeDocument/2006/relationships/hyperlink" Target="https://www.irs.gov/pub/irs-drop/rp-22-13.pdf" TargetMode="External"/><Relationship Id="rId2" Type="http://schemas.openxmlformats.org/officeDocument/2006/relationships/styles" Target="styles.xml"/><Relationship Id="rId16" Type="http://schemas.openxmlformats.org/officeDocument/2006/relationships/hyperlink" Target="https://www.irs.gov/pub/irs-wd/202151005.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rs.gov/e-file-providers/schedules-k-2-and-k-3-interim-electronic-filing-for-tax-year-2021" TargetMode="External"/><Relationship Id="rId11" Type="http://schemas.openxmlformats.org/officeDocument/2006/relationships/hyperlink" Target="https://www.gsa.gov/travel/plan-book/per-diem-rates/fy-2022-per-diem-highlights" TargetMode="External"/><Relationship Id="rId5" Type="http://schemas.openxmlformats.org/officeDocument/2006/relationships/hyperlink" Target="https://apps.irs.gov/app/picklist/list/formsPublications.html" TargetMode="External"/><Relationship Id="rId15" Type="http://schemas.openxmlformats.org/officeDocument/2006/relationships/hyperlink" Target="https://www.irs.gov/pub/irs-drop/n-21-65.pdf" TargetMode="External"/><Relationship Id="rId10" Type="http://schemas.openxmlformats.org/officeDocument/2006/relationships/hyperlink" Target="https://www.dol.gov/agencies/whd/fact-sheets/13-flsa-employment-relations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info.legislature.ca.gov/faces/billTextClient.xhtml?bill_id=202120220AB1561" TargetMode="External"/><Relationship Id="rId14" Type="http://schemas.openxmlformats.org/officeDocument/2006/relationships/hyperlink" Target="https://www.irs.gov/pub/irs-drop/n-21-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4766</Words>
  <Characters>27168</Characters>
  <Application>Microsoft Office Word</Application>
  <DocSecurity>4</DocSecurity>
  <Lines>226</Lines>
  <Paragraphs>63</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Supplement to J.K. Lasser’s Small Business Taxes 2022</vt:lpstr>
      <vt:lpstr>    </vt:lpstr>
      <vt:lpstr>    Introduction</vt:lpstr>
      <vt:lpstr>    </vt:lpstr>
      <vt:lpstr>    Chapter 1—Business Organization</vt:lpstr>
      <vt:lpstr>    Schedules K-2 and K-3 for partnerships and S corporations. These entities that h</vt:lpstr>
      <vt:lpstr>    </vt:lpstr>
      <vt:lpstr>    Chapter 2—Tax Year and Accounting Method </vt:lpstr>
      <vt:lpstr>    Change in accounting method. Form 3115 used by a business to change its method o</vt:lpstr>
      <vt:lpstr>    The IRS has released an updated list of automatic changes in accounting methods</vt:lpstr>
      <vt:lpstr>    </vt:lpstr>
      <vt:lpstr>    Chapter 4—Income or Loss from Business Operations</vt:lpstr>
      <vt:lpstr>    </vt:lpstr>
      <vt:lpstr>    Chapter 5—Capital Gains and Losses</vt:lpstr>
      <vt:lpstr>    </vt:lpstr>
      <vt:lpstr>    Chapter 7—Employee Compensation</vt:lpstr>
      <vt:lpstr>    Chapter 10—Repairs, Maintenance, and Energy Improvements</vt:lpstr>
      <vt:lpstr>    </vt:lpstr>
      <vt:lpstr>    Chapter 13—Taxes and Interest</vt:lpstr>
      <vt:lpstr>    </vt:lpstr>
      <vt:lpstr>    Chapter 14—First-Year Expensing, Depreciation, Amortization, and Depletion</vt:lpstr>
      <vt:lpstr>    </vt:lpstr>
      <vt:lpstr>    Chapter 16—Retirement Plans</vt:lpstr>
      <vt:lpstr>    </vt:lpstr>
      <vt:lpstr>    Chapter 17—Casualty and Theft Losses</vt:lpstr>
      <vt:lpstr>    </vt:lpstr>
      <vt:lpstr>    Chapter 19—Medical Expenses</vt:lpstr>
      <vt:lpstr>    Chapter 20—Deductions for Farmers</vt:lpstr>
      <vt:lpstr>    </vt:lpstr>
      <vt:lpstr>    Chapter 21—Qualified Business Income Deduction</vt:lpstr>
      <vt:lpstr>    Chapter 22—Miscellaneous Business Deductions</vt:lpstr>
      <vt:lpstr>    </vt:lpstr>
      <vt:lpstr>    Chapter 23—Roundup of Tax Credits</vt:lpstr>
      <vt:lpstr>    </vt:lpstr>
      <vt:lpstr>    Chapter 26—Strategies for Opening or Closing a Business</vt:lpstr>
      <vt:lpstr>    </vt:lpstr>
    </vt:vector>
  </TitlesOfParts>
  <Company/>
  <LinksUpToDate>false</LinksUpToDate>
  <CharactersWithSpaces>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Weltman</dc:creator>
  <cp:keywords/>
  <dc:description/>
  <cp:lastModifiedBy>Martin, Jean-Karl</cp:lastModifiedBy>
  <cp:revision>2</cp:revision>
  <dcterms:created xsi:type="dcterms:W3CDTF">2022-02-24T18:35:00Z</dcterms:created>
  <dcterms:modified xsi:type="dcterms:W3CDTF">2022-02-24T18:35:00Z</dcterms:modified>
</cp:coreProperties>
</file>