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60632" w14:textId="0C20E0C0" w:rsidR="00863021" w:rsidRDefault="00863021" w:rsidP="00863021">
      <w:pPr>
        <w:pStyle w:val="Heading1"/>
        <w:spacing w:before="0" w:after="0" w:line="240" w:lineRule="auto"/>
        <w:jc w:val="center"/>
        <w:rPr>
          <w:bCs w:val="0"/>
        </w:rPr>
      </w:pPr>
      <w:r>
        <w:rPr>
          <w:bCs w:val="0"/>
        </w:rPr>
        <w:t>Supplement to J.K. Lasser’s Small Business Taxes 2024</w:t>
      </w:r>
    </w:p>
    <w:p w14:paraId="6BD86841" w14:textId="77777777" w:rsidR="00863021" w:rsidRDefault="00863021" w:rsidP="00863021">
      <w:pPr>
        <w:pStyle w:val="Heading6"/>
        <w:spacing w:after="0" w:line="240" w:lineRule="auto"/>
        <w:rPr>
          <w:bCs w:val="0"/>
        </w:rPr>
      </w:pPr>
      <w:r>
        <w:rPr>
          <w:bCs w:val="0"/>
        </w:rPr>
        <w:t>By Barbara Weltman</w:t>
      </w:r>
    </w:p>
    <w:p w14:paraId="68247960" w14:textId="77777777" w:rsidR="00863021" w:rsidRDefault="00863021" w:rsidP="00863021">
      <w:pPr>
        <w:spacing w:after="0"/>
      </w:pPr>
      <w:bookmarkStart w:id="0" w:name="_Hlk60559378"/>
      <w:bookmarkStart w:id="1" w:name="_Hlk28503687"/>
    </w:p>
    <w:p w14:paraId="6689209F" w14:textId="77777777" w:rsidR="00A54E90" w:rsidRPr="00D07E81" w:rsidRDefault="00A54E90" w:rsidP="00A54E90">
      <w:pPr>
        <w:spacing w:after="0"/>
        <w:rPr>
          <w:color w:val="FF0000"/>
        </w:rPr>
      </w:pPr>
      <w:r w:rsidRPr="00D07E81">
        <w:rPr>
          <w:color w:val="FF0000"/>
        </w:rPr>
        <w:t>THIS SUPPLEMENT REFLECTS CHANGES THROUGH FEBRUARY 1, 2024. IF CONGRESS ENACTS THE TAXPAYER RELIEF FOR AMERICAN FAMILIES AND WORKERS ACT OR OTHER MEASURES IMPACTING 2023 RETURNS, THIS SUPPLEMENT WILL BE UPDATED AND REPOSTED.</w:t>
      </w:r>
    </w:p>
    <w:p w14:paraId="03A4DB99" w14:textId="77777777" w:rsidR="00A54E90" w:rsidRDefault="00A54E90" w:rsidP="00863021">
      <w:pPr>
        <w:spacing w:after="0"/>
      </w:pPr>
    </w:p>
    <w:p w14:paraId="5A514A24" w14:textId="256A0619" w:rsidR="00863021" w:rsidRDefault="00863021" w:rsidP="00863021">
      <w:pPr>
        <w:spacing w:after="0"/>
      </w:pPr>
      <w:r>
        <w:t>This year’s book</w:t>
      </w:r>
      <w:r w:rsidR="00C844E1">
        <w:t xml:space="preserve">, </w:t>
      </w:r>
      <w:r w:rsidR="00C844E1">
        <w:rPr>
          <w:i/>
          <w:iCs/>
        </w:rPr>
        <w:t>J.K. Lasser’s Small Business Taxes 2024,</w:t>
      </w:r>
      <w:r>
        <w:t xml:space="preserve"> reflects the tax rules as they stood on December 1, 2023. But tax law</w:t>
      </w:r>
      <w:r w:rsidRPr="00A17616">
        <w:t xml:space="preserve"> is not static</w:t>
      </w:r>
      <w:r>
        <w:t xml:space="preserve"> and new legislation, IRS pronouncements, and court decisions continue to tweak tax rules. They impact reporting </w:t>
      </w:r>
      <w:proofErr w:type="gramStart"/>
      <w:r>
        <w:t>on</w:t>
      </w:r>
      <w:proofErr w:type="gramEnd"/>
      <w:r>
        <w:t xml:space="preserve"> 2023 returns as well as tax planning for 202</w:t>
      </w:r>
      <w:r w:rsidR="00C844E1">
        <w:t>4</w:t>
      </w:r>
      <w:r>
        <w:t xml:space="preserve"> and beyond. This Supplement updates the book with these late-breaking developments.</w:t>
      </w:r>
    </w:p>
    <w:p w14:paraId="7B9620FD" w14:textId="194EA3DB" w:rsidR="00863021" w:rsidRPr="000D1F6B" w:rsidRDefault="00863021" w:rsidP="00863021">
      <w:pPr>
        <w:spacing w:after="0"/>
        <w:rPr>
          <w:color w:val="FF0000"/>
        </w:rPr>
      </w:pPr>
      <w:r>
        <w:tab/>
      </w:r>
      <w:bookmarkStart w:id="2" w:name="_Hlk157505812"/>
      <w:r w:rsidR="00C63FEA">
        <w:t xml:space="preserve">As of February 1, 2024, </w:t>
      </w:r>
      <w:r w:rsidR="002E7754">
        <w:t xml:space="preserve">Congress </w:t>
      </w:r>
      <w:r w:rsidR="00C63FEA">
        <w:t xml:space="preserve">had </w:t>
      </w:r>
      <w:r w:rsidR="002E7754">
        <w:t>not enact</w:t>
      </w:r>
      <w:r w:rsidR="00C63FEA">
        <w:t>ed</w:t>
      </w:r>
      <w:r w:rsidR="002E7754">
        <w:t xml:space="preserve"> any tax legislation after publication of this book</w:t>
      </w:r>
      <w:r w:rsidR="00C63FEA">
        <w:t>. However, the House approved the Tax Relief for American Families and Workers Act of 2024, which would make some retroactive changes</w:t>
      </w:r>
      <w:r w:rsidR="00E6218C">
        <w:t xml:space="preserve"> impact</w:t>
      </w:r>
      <w:r w:rsidR="00C95105">
        <w:t>ing</w:t>
      </w:r>
      <w:r w:rsidR="00E6218C">
        <w:t xml:space="preserve"> 2023 returns. The legislation </w:t>
      </w:r>
      <w:r w:rsidR="00C63FEA">
        <w:t xml:space="preserve">awaits action by the Senate. Will there be a new law? IRS Commissioner Werfel said: “Don’t wait on Congress [to file </w:t>
      </w:r>
      <w:r w:rsidR="00E6218C">
        <w:t xml:space="preserve">2023 </w:t>
      </w:r>
      <w:r w:rsidR="00C63FEA">
        <w:t xml:space="preserve">returns].” </w:t>
      </w:r>
      <w:bookmarkStart w:id="3" w:name="_Hlk154300192"/>
      <w:r w:rsidR="00C63FEA">
        <w:t>The proposed changes are noted in this Supplement, so continue to monitor developments.</w:t>
      </w:r>
    </w:p>
    <w:bookmarkEnd w:id="2"/>
    <w:bookmarkEnd w:id="3"/>
    <w:p w14:paraId="497C88EA" w14:textId="657E3B21" w:rsidR="00863021" w:rsidRPr="001560C9" w:rsidRDefault="00863021" w:rsidP="00863021">
      <w:pPr>
        <w:spacing w:after="0"/>
        <w:ind w:firstLine="720"/>
        <w:rPr>
          <w:rFonts w:ascii="Book Antiqua" w:hAnsi="Book Antiqua"/>
        </w:rPr>
      </w:pPr>
      <w:r>
        <w:t xml:space="preserve">The changes covered in this Supplement are listed according to the chapters in which the subject matter appears. </w:t>
      </w:r>
      <w:bookmarkEnd w:id="0"/>
      <w:r>
        <w:t xml:space="preserve">I’ve attempted to include an answer to every notation in the book that </w:t>
      </w:r>
      <w:proofErr w:type="gramStart"/>
      <w:r>
        <w:t>said</w:t>
      </w:r>
      <w:proofErr w:type="gramEnd"/>
      <w:r>
        <w:t xml:space="preserve"> “see the Supplement.” Be sure to note which changes listed in this Supplement apply to 202</w:t>
      </w:r>
      <w:r w:rsidR="002E7754">
        <w:t>3</w:t>
      </w:r>
      <w:r>
        <w:t xml:space="preserve"> returns and which apply for purposes of figuring 202</w:t>
      </w:r>
      <w:r w:rsidR="002E7754">
        <w:t>4</w:t>
      </w:r>
      <w:r>
        <w:t xml:space="preserve"> estimated taxes. For changes in 202</w:t>
      </w:r>
      <w:r w:rsidR="002E7754">
        <w:t>4</w:t>
      </w:r>
      <w:r>
        <w:t xml:space="preserve">, only an overview is provided, with more details to come in the next edition </w:t>
      </w:r>
      <w:r w:rsidR="00C95105">
        <w:t>of</w:t>
      </w:r>
      <w:r>
        <w:t xml:space="preserve"> this book.</w:t>
      </w:r>
    </w:p>
    <w:bookmarkEnd w:id="1"/>
    <w:p w14:paraId="499D4E5A" w14:textId="77777777" w:rsidR="00863021" w:rsidRDefault="00863021" w:rsidP="00E01AE2">
      <w:pPr>
        <w:pStyle w:val="Heading2"/>
      </w:pPr>
    </w:p>
    <w:p w14:paraId="32D3A844" w14:textId="77777777" w:rsidR="00863021" w:rsidRPr="006A0088" w:rsidRDefault="00863021" w:rsidP="00E01AE2">
      <w:pPr>
        <w:pStyle w:val="Heading2"/>
      </w:pPr>
      <w:r w:rsidRPr="006A0088">
        <w:t>Introduction</w:t>
      </w:r>
    </w:p>
    <w:p w14:paraId="7CEAFCCF" w14:textId="77777777" w:rsidR="00863021" w:rsidRDefault="00863021" w:rsidP="00863021">
      <w:pPr>
        <w:spacing w:after="0"/>
      </w:pPr>
      <w:r>
        <w:rPr>
          <w:b/>
          <w:i/>
        </w:rPr>
        <w:t xml:space="preserve">Forms and schedules. </w:t>
      </w:r>
      <w:r>
        <w:t xml:space="preserve">When this edition was published, final versions of forms were not yet available. Find final versions of forms and schedules </w:t>
      </w:r>
      <w:hyperlink r:id="rId6" w:history="1">
        <w:r w:rsidRPr="00194CE2">
          <w:rPr>
            <w:rStyle w:val="Hyperlink"/>
          </w:rPr>
          <w:t>here</w:t>
        </w:r>
      </w:hyperlink>
      <w:r>
        <w:t xml:space="preserve">. </w:t>
      </w:r>
    </w:p>
    <w:p w14:paraId="5DF195AC" w14:textId="77777777" w:rsidR="00863021" w:rsidRDefault="00863021" w:rsidP="00863021">
      <w:pPr>
        <w:spacing w:after="0"/>
        <w:rPr>
          <w:b/>
          <w:bCs/>
          <w:i/>
          <w:iCs/>
        </w:rPr>
      </w:pPr>
    </w:p>
    <w:p w14:paraId="1807C6B9" w14:textId="77777777" w:rsidR="00863021" w:rsidRDefault="00863021" w:rsidP="00E01AE2">
      <w:pPr>
        <w:pStyle w:val="Heading2"/>
      </w:pPr>
    </w:p>
    <w:p w14:paraId="7D5F5582" w14:textId="77777777" w:rsidR="00863021" w:rsidRPr="006A0088" w:rsidRDefault="00863021" w:rsidP="00E01AE2">
      <w:pPr>
        <w:pStyle w:val="Heading2"/>
      </w:pPr>
      <w:r w:rsidRPr="006A0088">
        <w:t>Chapter 1—Business Organization</w:t>
      </w:r>
    </w:p>
    <w:p w14:paraId="5690FAE6" w14:textId="77777777" w:rsidR="00863021" w:rsidRDefault="00863021" w:rsidP="00863021">
      <w:pPr>
        <w:spacing w:after="0"/>
        <w:rPr>
          <w:bCs/>
        </w:rPr>
      </w:pPr>
      <w:r>
        <w:rPr>
          <w:b/>
          <w:bCs/>
          <w:i/>
          <w:iCs/>
        </w:rPr>
        <w:t xml:space="preserve">Form 2553. </w:t>
      </w:r>
      <w:r>
        <w:rPr>
          <w:bCs/>
        </w:rPr>
        <w:t>Despite a suggestion from the National Taxpayer Advocate that this form be attached with the return for a new corporation, the election to be taxed as an S corporation must be filed separately, and it must be timely submitted.</w:t>
      </w:r>
    </w:p>
    <w:p w14:paraId="12F61E00" w14:textId="77777777" w:rsidR="00863021" w:rsidRDefault="00863021" w:rsidP="00863021">
      <w:pPr>
        <w:spacing w:after="0"/>
        <w:rPr>
          <w:b/>
          <w:i/>
          <w:iCs/>
        </w:rPr>
      </w:pPr>
    </w:p>
    <w:p w14:paraId="06E9B4AE" w14:textId="77777777" w:rsidR="00863021" w:rsidRDefault="00863021" w:rsidP="00863021">
      <w:pPr>
        <w:spacing w:after="0"/>
        <w:rPr>
          <w:bCs/>
        </w:rPr>
      </w:pPr>
      <w:r>
        <w:rPr>
          <w:b/>
          <w:i/>
          <w:iCs/>
        </w:rPr>
        <w:t xml:space="preserve">S corporation shareholder-employees not subject to self-employment tax. </w:t>
      </w:r>
      <w:r>
        <w:rPr>
          <w:bCs/>
        </w:rPr>
        <w:t>Proposals to treat these business owners as if they were partners in a partnership have not been adopted.</w:t>
      </w:r>
    </w:p>
    <w:p w14:paraId="044E14BD" w14:textId="77777777" w:rsidR="000D65BF" w:rsidRDefault="000D65BF" w:rsidP="00863021">
      <w:pPr>
        <w:spacing w:after="0"/>
        <w:rPr>
          <w:bCs/>
        </w:rPr>
      </w:pPr>
    </w:p>
    <w:p w14:paraId="03B51DF5" w14:textId="63CE7727" w:rsidR="000D65BF" w:rsidRPr="00C95105" w:rsidRDefault="000D65BF" w:rsidP="00863021">
      <w:pPr>
        <w:spacing w:after="0"/>
        <w:rPr>
          <w:bCs/>
        </w:rPr>
      </w:pPr>
      <w:r>
        <w:rPr>
          <w:b/>
          <w:i/>
          <w:iCs/>
        </w:rPr>
        <w:t xml:space="preserve">Beneficial ownership information reporting. </w:t>
      </w:r>
      <w:r>
        <w:rPr>
          <w:bCs/>
        </w:rPr>
        <w:t xml:space="preserve">The Treasury’s FinCEN released a </w:t>
      </w:r>
      <w:hyperlink r:id="rId7" w:history="1">
        <w:r w:rsidRPr="006456A7">
          <w:rPr>
            <w:rStyle w:val="Hyperlink"/>
            <w:bCs/>
          </w:rPr>
          <w:t>guide</w:t>
        </w:r>
      </w:hyperlink>
      <w:r>
        <w:rPr>
          <w:bCs/>
        </w:rPr>
        <w:t xml:space="preserve"> for small entity about this reporting. </w:t>
      </w:r>
      <w:r w:rsidR="00C95105">
        <w:rPr>
          <w:b/>
          <w:i/>
          <w:iCs/>
        </w:rPr>
        <w:t xml:space="preserve">Reminder: </w:t>
      </w:r>
      <w:r w:rsidR="00C95105">
        <w:rPr>
          <w:bCs/>
        </w:rPr>
        <w:t xml:space="preserve">Businesses subject to this reporting </w:t>
      </w:r>
      <w:r w:rsidR="00C95105">
        <w:rPr>
          <w:bCs/>
        </w:rPr>
        <w:lastRenderedPageBreak/>
        <w:t>requirement that existed before 2024 have all of 2024 to comply, while those formed in 2024 ha</w:t>
      </w:r>
      <w:r w:rsidR="00A54E90">
        <w:rPr>
          <w:bCs/>
        </w:rPr>
        <w:t>ve</w:t>
      </w:r>
      <w:r w:rsidR="00C95105">
        <w:rPr>
          <w:bCs/>
        </w:rPr>
        <w:t xml:space="preserve"> 90 days to comply.</w:t>
      </w:r>
    </w:p>
    <w:p w14:paraId="4EC5200C" w14:textId="77777777" w:rsidR="00863021" w:rsidRPr="00873480" w:rsidRDefault="00863021" w:rsidP="00863021">
      <w:pPr>
        <w:spacing w:after="0"/>
        <w:rPr>
          <w:bCs/>
        </w:rPr>
      </w:pPr>
    </w:p>
    <w:p w14:paraId="7B6B45F8" w14:textId="77777777" w:rsidR="00863021" w:rsidRDefault="00863021" w:rsidP="00E01AE2">
      <w:pPr>
        <w:pStyle w:val="Heading2"/>
      </w:pPr>
    </w:p>
    <w:p w14:paraId="5D684496" w14:textId="77777777" w:rsidR="00863021" w:rsidRPr="006A0088" w:rsidRDefault="00863021" w:rsidP="00E01AE2">
      <w:pPr>
        <w:pStyle w:val="Heading2"/>
      </w:pPr>
      <w:r w:rsidRPr="006A0088">
        <w:t xml:space="preserve">Chapter 2—Tax Year and Accounting Method </w:t>
      </w:r>
    </w:p>
    <w:p w14:paraId="4100748B" w14:textId="1E49E32A" w:rsidR="007160C7" w:rsidRPr="003B733B" w:rsidRDefault="007160C7" w:rsidP="007160C7">
      <w:pPr>
        <w:spacing w:after="0"/>
      </w:pPr>
      <w:r>
        <w:rPr>
          <w:b/>
          <w:bCs/>
          <w:i/>
        </w:rPr>
        <w:t>Gross receipts test</w:t>
      </w:r>
      <w:r w:rsidRPr="007160C7">
        <w:rPr>
          <w:b/>
          <w:bCs/>
          <w:i/>
        </w:rPr>
        <w:t>.</w:t>
      </w:r>
      <w:r w:rsidRPr="000B55C5">
        <w:rPr>
          <w:i/>
        </w:rPr>
        <w:t xml:space="preserve"> </w:t>
      </w:r>
      <w:r>
        <w:t>For 2024, the gross receipts test used to determine whether C corporations can use the cash method of accounting is $30 million in average annual gross receipts in the 3 prior years. Businesses that qualify under this test for the first year must file for a change in accounting method; it’s an automatic change.</w:t>
      </w:r>
    </w:p>
    <w:p w14:paraId="634E0636" w14:textId="77777777" w:rsidR="007160C7" w:rsidRDefault="007160C7" w:rsidP="00A55BB1">
      <w:pPr>
        <w:spacing w:after="0"/>
        <w:rPr>
          <w:b/>
          <w:bCs/>
          <w:i/>
        </w:rPr>
      </w:pPr>
    </w:p>
    <w:p w14:paraId="4B043B3E" w14:textId="2DFE1519" w:rsidR="007160C7" w:rsidRDefault="00863021" w:rsidP="00A55BB1">
      <w:pPr>
        <w:spacing w:after="0"/>
      </w:pPr>
      <w:r w:rsidRPr="007160C7">
        <w:rPr>
          <w:b/>
          <w:bCs/>
          <w:i/>
        </w:rPr>
        <w:t>Change in accounting method.</w:t>
      </w:r>
      <w:r w:rsidRPr="000B55C5">
        <w:rPr>
          <w:i/>
        </w:rPr>
        <w:t xml:space="preserve"> </w:t>
      </w:r>
      <w:r>
        <w:t xml:space="preserve">Form 3115 has been revised. </w:t>
      </w:r>
      <w:r w:rsidR="00A55BB1" w:rsidRPr="00A55BB1">
        <w:t>And</w:t>
      </w:r>
      <w:r w:rsidR="00A55BB1">
        <w:rPr>
          <w:b/>
          <w:bCs/>
        </w:rPr>
        <w:t xml:space="preserve"> </w:t>
      </w:r>
      <w:r w:rsidR="00A55BB1" w:rsidRPr="00A55BB1">
        <w:t>the</w:t>
      </w:r>
      <w:r w:rsidR="00A55BB1">
        <w:rPr>
          <w:b/>
          <w:bCs/>
        </w:rPr>
        <w:t xml:space="preserve"> </w:t>
      </w:r>
      <w:r w:rsidR="00A55BB1">
        <w:t>IRS extended the option to use digital signatures on Form 3115 through October 31, 2025 (this option had been set to expire on October 31, 2023).</w:t>
      </w:r>
    </w:p>
    <w:p w14:paraId="28ED5FD9" w14:textId="0996673C" w:rsidR="000D2462" w:rsidRDefault="000D2462" w:rsidP="00A55BB1">
      <w:pPr>
        <w:spacing w:after="0"/>
      </w:pPr>
      <w:r>
        <w:tab/>
      </w:r>
      <w:r w:rsidR="005C274F">
        <w:t>The IRS issued more guidance on making a change in accounting method for amortizing research expenses for tax years beginning after December 31, 2021</w:t>
      </w:r>
      <w:r w:rsidR="00C95105">
        <w:t xml:space="preserve"> (but see </w:t>
      </w:r>
      <w:r w:rsidR="0088645E">
        <w:t xml:space="preserve">the caution for </w:t>
      </w:r>
      <w:r w:rsidR="00C95105">
        <w:t>Chapte</w:t>
      </w:r>
      <w:r w:rsidR="0088645E">
        <w:t>r 14 in this Supplement regarding potential legislation)</w:t>
      </w:r>
      <w:r w:rsidR="005C274F">
        <w:t xml:space="preserve">. The change in accounting method does not require filing Form 3115; it can be done with a statement in lieu of the form. The statement must include certain information laid out in </w:t>
      </w:r>
      <w:hyperlink r:id="rId8" w:history="1">
        <w:r w:rsidR="005C274F" w:rsidRPr="00C95105">
          <w:rPr>
            <w:rStyle w:val="Hyperlink"/>
          </w:rPr>
          <w:t>Rev. Proc. 2024-9</w:t>
        </w:r>
      </w:hyperlink>
      <w:r w:rsidR="005C274F">
        <w:t xml:space="preserve">. </w:t>
      </w:r>
    </w:p>
    <w:p w14:paraId="45879228" w14:textId="77777777" w:rsidR="007160C7" w:rsidRPr="003B733B" w:rsidRDefault="007160C7" w:rsidP="00A55BB1">
      <w:pPr>
        <w:spacing w:after="0"/>
      </w:pPr>
    </w:p>
    <w:p w14:paraId="1437EA22" w14:textId="77777777" w:rsidR="00863021" w:rsidRPr="006A0088" w:rsidRDefault="00863021" w:rsidP="00E01AE2">
      <w:pPr>
        <w:pStyle w:val="Heading2"/>
      </w:pPr>
      <w:r w:rsidRPr="006A0088">
        <w:t>Chapter 4—Income or Loss from Business Operations</w:t>
      </w:r>
    </w:p>
    <w:p w14:paraId="5B44A340" w14:textId="02BE110D" w:rsidR="006456A7" w:rsidRDefault="00863021" w:rsidP="00863021">
      <w:pPr>
        <w:spacing w:after="0"/>
        <w:rPr>
          <w:bCs/>
          <w:iCs/>
        </w:rPr>
      </w:pPr>
      <w:r>
        <w:rPr>
          <w:b/>
          <w:i/>
        </w:rPr>
        <w:t xml:space="preserve">Payments in digital assets. </w:t>
      </w:r>
      <w:r w:rsidR="006456A7">
        <w:rPr>
          <w:bCs/>
          <w:iCs/>
        </w:rPr>
        <w:t>Businesses must disclose on 2023 income tax returns whether they engaged in any digital asset transactions</w:t>
      </w:r>
      <w:r w:rsidR="002E62F8">
        <w:rPr>
          <w:bCs/>
          <w:iCs/>
        </w:rPr>
        <w:t xml:space="preserve"> as follows</w:t>
      </w:r>
      <w:r w:rsidR="006456A7">
        <w:rPr>
          <w:bCs/>
          <w:iCs/>
        </w:rPr>
        <w:t>:</w:t>
      </w:r>
    </w:p>
    <w:p w14:paraId="4E42878B" w14:textId="77777777" w:rsidR="006456A7" w:rsidRPr="002E62F8" w:rsidRDefault="006456A7" w:rsidP="002E62F8">
      <w:pPr>
        <w:pStyle w:val="ListParagraph"/>
        <w:numPr>
          <w:ilvl w:val="0"/>
          <w:numId w:val="45"/>
        </w:numPr>
        <w:spacing w:after="0"/>
        <w:rPr>
          <w:bCs/>
          <w:iCs/>
        </w:rPr>
      </w:pPr>
      <w:r w:rsidRPr="002E62F8">
        <w:rPr>
          <w:bCs/>
          <w:iCs/>
        </w:rPr>
        <w:t>Sole proprietors: Page 1 of Form 1040 or 1040-SR</w:t>
      </w:r>
    </w:p>
    <w:p w14:paraId="401DE8BA" w14:textId="6E1BD544" w:rsidR="00863021" w:rsidRPr="002E62F8" w:rsidRDefault="006456A7" w:rsidP="002E62F8">
      <w:pPr>
        <w:pStyle w:val="ListParagraph"/>
        <w:numPr>
          <w:ilvl w:val="0"/>
          <w:numId w:val="45"/>
        </w:numPr>
        <w:spacing w:after="0"/>
        <w:rPr>
          <w:bCs/>
          <w:iCs/>
        </w:rPr>
      </w:pPr>
      <w:r w:rsidRPr="002E62F8">
        <w:rPr>
          <w:bCs/>
          <w:iCs/>
        </w:rPr>
        <w:t>Partnerships:</w:t>
      </w:r>
      <w:r w:rsidR="002E62F8" w:rsidRPr="002E62F8">
        <w:rPr>
          <w:bCs/>
          <w:iCs/>
        </w:rPr>
        <w:t xml:space="preserve"> Line 30, Schedule B of Form 1065</w:t>
      </w:r>
    </w:p>
    <w:p w14:paraId="03E93D5F" w14:textId="1C18F8E4" w:rsidR="006456A7" w:rsidRPr="002E62F8" w:rsidRDefault="006456A7" w:rsidP="002E62F8">
      <w:pPr>
        <w:pStyle w:val="ListParagraph"/>
        <w:numPr>
          <w:ilvl w:val="0"/>
          <w:numId w:val="45"/>
        </w:numPr>
        <w:spacing w:after="0"/>
        <w:rPr>
          <w:bCs/>
          <w:iCs/>
        </w:rPr>
      </w:pPr>
      <w:r w:rsidRPr="002E62F8">
        <w:rPr>
          <w:bCs/>
          <w:iCs/>
        </w:rPr>
        <w:t>S corporations:</w:t>
      </w:r>
      <w:r w:rsidR="002E62F8" w:rsidRPr="002E62F8">
        <w:rPr>
          <w:bCs/>
          <w:iCs/>
        </w:rPr>
        <w:t xml:space="preserve"> Line 16, Schedule B of Form 1120-S</w:t>
      </w:r>
    </w:p>
    <w:p w14:paraId="330F3F22" w14:textId="65D35ADD" w:rsidR="006456A7" w:rsidRPr="002E62F8" w:rsidRDefault="006456A7" w:rsidP="002E62F8">
      <w:pPr>
        <w:pStyle w:val="ListParagraph"/>
        <w:numPr>
          <w:ilvl w:val="0"/>
          <w:numId w:val="45"/>
        </w:numPr>
        <w:spacing w:after="0"/>
        <w:rPr>
          <w:bCs/>
          <w:iCs/>
        </w:rPr>
      </w:pPr>
      <w:r w:rsidRPr="002E62F8">
        <w:rPr>
          <w:bCs/>
          <w:iCs/>
        </w:rPr>
        <w:t xml:space="preserve">C corporations: Line </w:t>
      </w:r>
      <w:r w:rsidR="002E62F8" w:rsidRPr="002E62F8">
        <w:rPr>
          <w:bCs/>
          <w:iCs/>
        </w:rPr>
        <w:t>27 of Schedule K of Form 1120</w:t>
      </w:r>
    </w:p>
    <w:p w14:paraId="56760142" w14:textId="77777777" w:rsidR="00863021" w:rsidRPr="00D17A14" w:rsidRDefault="00863021" w:rsidP="00863021">
      <w:pPr>
        <w:spacing w:after="0"/>
        <w:rPr>
          <w:bCs/>
          <w:iCs/>
        </w:rPr>
      </w:pPr>
    </w:p>
    <w:p w14:paraId="081B2B14" w14:textId="2ED77E62" w:rsidR="00863021" w:rsidRDefault="00863021" w:rsidP="00863021">
      <w:pPr>
        <w:spacing w:after="0"/>
        <w:rPr>
          <w:shd w:val="clear" w:color="auto" w:fill="FFFFFF"/>
        </w:rPr>
      </w:pPr>
      <w:r>
        <w:rPr>
          <w:b/>
          <w:i/>
        </w:rPr>
        <w:t xml:space="preserve">Excess business losses. </w:t>
      </w:r>
      <w:r>
        <w:rPr>
          <w:bCs/>
          <w:iCs/>
        </w:rPr>
        <w:t xml:space="preserve">Noncorporate taxpayers (e.g., owners of pass-through entities) are subject to a limit on the </w:t>
      </w:r>
      <w:proofErr w:type="gramStart"/>
      <w:r>
        <w:rPr>
          <w:bCs/>
          <w:iCs/>
        </w:rPr>
        <w:t>amount</w:t>
      </w:r>
      <w:proofErr w:type="gramEnd"/>
      <w:r>
        <w:rPr>
          <w:bCs/>
          <w:iCs/>
        </w:rPr>
        <w:t xml:space="preserve"> of losses claimed on the current return. </w:t>
      </w:r>
      <w:r w:rsidRPr="00306155">
        <w:rPr>
          <w:shd w:val="clear" w:color="auto" w:fill="FFFFFF"/>
        </w:rPr>
        <w:t xml:space="preserve">An excess business loss is the amount by which the total deductions attributable to </w:t>
      </w:r>
      <w:proofErr w:type="gramStart"/>
      <w:r w:rsidRPr="00306155">
        <w:rPr>
          <w:shd w:val="clear" w:color="auto" w:fill="FFFFFF"/>
        </w:rPr>
        <w:t>all of</w:t>
      </w:r>
      <w:proofErr w:type="gramEnd"/>
      <w:r w:rsidRPr="00306155">
        <w:rPr>
          <w:shd w:val="clear" w:color="auto" w:fill="FFFFFF"/>
        </w:rPr>
        <w:t xml:space="preserve"> your trades or businesses exceed your total gross income and gains attributable to those trades or businesses plus a threshold amount adjusted for cost of living. For taxable years beginning in 20</w:t>
      </w:r>
      <w:r>
        <w:rPr>
          <w:shd w:val="clear" w:color="auto" w:fill="FFFFFF"/>
        </w:rPr>
        <w:t>2</w:t>
      </w:r>
      <w:r w:rsidR="00FC218B">
        <w:rPr>
          <w:shd w:val="clear" w:color="auto" w:fill="FFFFFF"/>
        </w:rPr>
        <w:t>4</w:t>
      </w:r>
      <w:r w:rsidRPr="00306155">
        <w:rPr>
          <w:shd w:val="clear" w:color="auto" w:fill="FFFFFF"/>
        </w:rPr>
        <w:t>, the threshold amounts are $</w:t>
      </w:r>
      <w:r w:rsidR="00FC218B">
        <w:rPr>
          <w:shd w:val="clear" w:color="auto" w:fill="FFFFFF"/>
        </w:rPr>
        <w:t>305</w:t>
      </w:r>
      <w:r w:rsidRPr="00306155">
        <w:rPr>
          <w:shd w:val="clear" w:color="auto" w:fill="FFFFFF"/>
        </w:rPr>
        <w:t>,000 (or $</w:t>
      </w:r>
      <w:r w:rsidR="00FC218B">
        <w:rPr>
          <w:shd w:val="clear" w:color="auto" w:fill="FFFFFF"/>
        </w:rPr>
        <w:t>610</w:t>
      </w:r>
      <w:r w:rsidRPr="00306155">
        <w:rPr>
          <w:shd w:val="clear" w:color="auto" w:fill="FFFFFF"/>
        </w:rPr>
        <w:t>,000 in the case of a joint return)</w:t>
      </w:r>
      <w:r>
        <w:rPr>
          <w:shd w:val="clear" w:color="auto" w:fill="FFFFFF"/>
        </w:rPr>
        <w:t xml:space="preserve"> (up from $2</w:t>
      </w:r>
      <w:r w:rsidR="00FC218B">
        <w:rPr>
          <w:shd w:val="clear" w:color="auto" w:fill="FFFFFF"/>
        </w:rPr>
        <w:t>89</w:t>
      </w:r>
      <w:r>
        <w:rPr>
          <w:shd w:val="clear" w:color="auto" w:fill="FFFFFF"/>
        </w:rPr>
        <w:t>,000 and $5</w:t>
      </w:r>
      <w:r w:rsidR="00FC218B">
        <w:rPr>
          <w:shd w:val="clear" w:color="auto" w:fill="FFFFFF"/>
        </w:rPr>
        <w:t>78</w:t>
      </w:r>
      <w:r>
        <w:rPr>
          <w:shd w:val="clear" w:color="auto" w:fill="FFFFFF"/>
        </w:rPr>
        <w:t>,000, respectively, in 202</w:t>
      </w:r>
      <w:r w:rsidR="00FC218B">
        <w:rPr>
          <w:shd w:val="clear" w:color="auto" w:fill="FFFFFF"/>
        </w:rPr>
        <w:t>3</w:t>
      </w:r>
      <w:r>
        <w:rPr>
          <w:shd w:val="clear" w:color="auto" w:fill="FFFFFF"/>
        </w:rPr>
        <w:t>)</w:t>
      </w:r>
      <w:r w:rsidRPr="00306155">
        <w:rPr>
          <w:shd w:val="clear" w:color="auto" w:fill="FFFFFF"/>
        </w:rPr>
        <w:t>. </w:t>
      </w:r>
    </w:p>
    <w:p w14:paraId="15505989" w14:textId="77777777" w:rsidR="00863021" w:rsidRPr="00306155" w:rsidRDefault="00863021" w:rsidP="00863021">
      <w:pPr>
        <w:spacing w:after="0"/>
        <w:rPr>
          <w:b/>
          <w:i/>
        </w:rPr>
      </w:pPr>
    </w:p>
    <w:p w14:paraId="4687AA3F" w14:textId="0EEA383E" w:rsidR="00863021" w:rsidRDefault="00863021" w:rsidP="00863021">
      <w:pPr>
        <w:spacing w:after="0"/>
      </w:pPr>
      <w:r>
        <w:rPr>
          <w:b/>
          <w:i/>
        </w:rPr>
        <w:t xml:space="preserve">Income earned abroad. </w:t>
      </w:r>
      <w:bookmarkStart w:id="4" w:name="_Hlk60563314"/>
      <w:r>
        <w:t>The earned income exclusion for 202</w:t>
      </w:r>
      <w:r w:rsidR="00374360">
        <w:t>4</w:t>
      </w:r>
      <w:r>
        <w:t xml:space="preserve"> is capped at $12</w:t>
      </w:r>
      <w:r w:rsidR="00FC218B">
        <w:t>6</w:t>
      </w:r>
      <w:r>
        <w:t>,</w:t>
      </w:r>
      <w:r w:rsidR="00FC218B">
        <w:t>5</w:t>
      </w:r>
      <w:r>
        <w:t>00 (up from $</w:t>
      </w:r>
      <w:r w:rsidR="00FC218B">
        <w:t>120</w:t>
      </w:r>
      <w:r>
        <w:t>,000 in 202</w:t>
      </w:r>
      <w:r w:rsidR="00FC218B">
        <w:t>3</w:t>
      </w:r>
      <w:r>
        <w:t xml:space="preserve">). </w:t>
      </w:r>
    </w:p>
    <w:p w14:paraId="2BD3C8C1" w14:textId="77777777" w:rsidR="00A55BB1" w:rsidRDefault="00A55BB1" w:rsidP="00863021">
      <w:pPr>
        <w:spacing w:after="0"/>
      </w:pPr>
    </w:p>
    <w:p w14:paraId="24058F6F" w14:textId="2081ED2E" w:rsidR="00A55BB1" w:rsidRPr="00A55BB1" w:rsidRDefault="00A55BB1" w:rsidP="00A55BB1">
      <w:pPr>
        <w:autoSpaceDE w:val="0"/>
        <w:autoSpaceDN w:val="0"/>
        <w:adjustRightInd w:val="0"/>
        <w:spacing w:after="0"/>
      </w:pPr>
      <w:r>
        <w:rPr>
          <w:b/>
          <w:bCs/>
          <w:i/>
          <w:iCs/>
        </w:rPr>
        <w:t>Merchant income on credit card</w:t>
      </w:r>
      <w:r w:rsidR="00D05B70">
        <w:rPr>
          <w:b/>
          <w:bCs/>
          <w:i/>
          <w:iCs/>
        </w:rPr>
        <w:t xml:space="preserve"> transaction</w:t>
      </w:r>
      <w:r>
        <w:rPr>
          <w:b/>
          <w:bCs/>
          <w:i/>
          <w:iCs/>
        </w:rPr>
        <w:t xml:space="preserve">s. </w:t>
      </w:r>
      <w:r w:rsidRPr="00A55BB1">
        <w:rPr>
          <w:rFonts w:eastAsiaTheme="minorHAnsi"/>
          <w:sz w:val="22"/>
          <w:szCs w:val="22"/>
        </w:rPr>
        <w:t xml:space="preserve">Merchant card and third-party payment providers </w:t>
      </w:r>
      <w:r>
        <w:rPr>
          <w:rFonts w:eastAsiaTheme="minorHAnsi"/>
          <w:sz w:val="22"/>
          <w:szCs w:val="22"/>
        </w:rPr>
        <w:t xml:space="preserve">were supposed to </w:t>
      </w:r>
      <w:r w:rsidRPr="00A55BB1">
        <w:rPr>
          <w:rFonts w:eastAsiaTheme="minorHAnsi"/>
          <w:sz w:val="22"/>
          <w:szCs w:val="22"/>
        </w:rPr>
        <w:t>report</w:t>
      </w:r>
      <w:r>
        <w:rPr>
          <w:rFonts w:eastAsiaTheme="minorHAnsi"/>
          <w:sz w:val="22"/>
          <w:szCs w:val="22"/>
        </w:rPr>
        <w:t xml:space="preserve"> 2023 </w:t>
      </w:r>
      <w:r w:rsidRPr="00A55BB1">
        <w:rPr>
          <w:rFonts w:eastAsiaTheme="minorHAnsi"/>
          <w:sz w:val="22"/>
          <w:szCs w:val="22"/>
        </w:rPr>
        <w:t xml:space="preserve">transactions on Form 1099-K </w:t>
      </w:r>
      <w:r>
        <w:rPr>
          <w:rFonts w:eastAsiaTheme="minorHAnsi"/>
          <w:sz w:val="22"/>
          <w:szCs w:val="22"/>
        </w:rPr>
        <w:t xml:space="preserve">if they totaled </w:t>
      </w:r>
      <w:r w:rsidRPr="00A55BB1">
        <w:rPr>
          <w:rFonts w:eastAsiaTheme="minorHAnsi"/>
          <w:sz w:val="22"/>
          <w:szCs w:val="22"/>
        </w:rPr>
        <w:t>more than $600</w:t>
      </w:r>
      <w:r>
        <w:rPr>
          <w:rFonts w:eastAsiaTheme="minorHAnsi"/>
          <w:sz w:val="22"/>
          <w:szCs w:val="22"/>
        </w:rPr>
        <w:t xml:space="preserve">, but the IRS provided relief for 2023 transactions. The old threshold of 200 transactions totaling more than $20,000 applies for 2023 transactions. Under a transition rule created by the IRS, the threshold for 2024 transactions reporting in 2025 will be $5,000, regardless of the number of transactions. </w:t>
      </w:r>
      <w:r w:rsidR="005A601C">
        <w:rPr>
          <w:rFonts w:eastAsiaTheme="minorHAnsi"/>
          <w:sz w:val="22"/>
          <w:szCs w:val="22"/>
        </w:rPr>
        <w:t>Then, for 2025 transactions report</w:t>
      </w:r>
      <w:r w:rsidR="00D05B70">
        <w:rPr>
          <w:rFonts w:eastAsiaTheme="minorHAnsi"/>
          <w:sz w:val="22"/>
          <w:szCs w:val="22"/>
        </w:rPr>
        <w:t>ed</w:t>
      </w:r>
      <w:r w:rsidR="005A601C">
        <w:rPr>
          <w:rFonts w:eastAsiaTheme="minorHAnsi"/>
          <w:sz w:val="22"/>
          <w:szCs w:val="22"/>
        </w:rPr>
        <w:t xml:space="preserve"> in 2026, the threshold will be $600, </w:t>
      </w:r>
      <w:r w:rsidR="005A601C">
        <w:rPr>
          <w:rFonts w:eastAsiaTheme="minorHAnsi"/>
          <w:sz w:val="22"/>
          <w:szCs w:val="22"/>
        </w:rPr>
        <w:lastRenderedPageBreak/>
        <w:t>regardless of the number of transactions. However, there continues to be pushback on this threshold and Congress could change it at any time.</w:t>
      </w:r>
    </w:p>
    <w:p w14:paraId="5D9B05AE" w14:textId="77777777" w:rsidR="00863021" w:rsidRDefault="00863021" w:rsidP="00863021">
      <w:pPr>
        <w:spacing w:after="0"/>
      </w:pPr>
    </w:p>
    <w:bookmarkEnd w:id="4"/>
    <w:p w14:paraId="1F35D967" w14:textId="77777777" w:rsidR="00863021" w:rsidRPr="006A0088" w:rsidRDefault="00863021" w:rsidP="00E01AE2">
      <w:pPr>
        <w:pStyle w:val="Heading2"/>
      </w:pPr>
      <w:r w:rsidRPr="006A0088">
        <w:t>Chapter 5—Capital Gains and Losses</w:t>
      </w:r>
    </w:p>
    <w:p w14:paraId="6FE1FB30" w14:textId="6A8C31D4" w:rsidR="00863021" w:rsidRPr="00053C0A" w:rsidRDefault="00863021" w:rsidP="00863021">
      <w:pPr>
        <w:spacing w:after="0"/>
      </w:pPr>
      <w:r>
        <w:rPr>
          <w:b/>
          <w:i/>
        </w:rPr>
        <w:t>Taxable income breakpoints for capital gain rates in 202</w:t>
      </w:r>
      <w:r w:rsidR="00C703A0">
        <w:rPr>
          <w:b/>
          <w:i/>
        </w:rPr>
        <w:t>4</w:t>
      </w:r>
      <w:r>
        <w:rPr>
          <w:b/>
          <w:i/>
        </w:rPr>
        <w:t xml:space="preserve">. </w:t>
      </w:r>
      <w:r>
        <w:rPr>
          <w:b/>
        </w:rPr>
        <w:t xml:space="preserve"> </w:t>
      </w:r>
      <w:r>
        <w:t>Owners of pass-through entities who are individuals pay tax on their share of capital gains. The following table (an update to Table 5.1 in the book) shows the break points for capital gain rates for 202</w:t>
      </w:r>
      <w:r w:rsidR="00C703A0">
        <w:t>4</w:t>
      </w:r>
      <w:r>
        <w:t xml:space="preserve">; this Table does </w:t>
      </w:r>
      <w:r w:rsidRPr="00CB4FFF">
        <w:rPr>
          <w:i/>
          <w:iCs/>
        </w:rPr>
        <w:t>not</w:t>
      </w:r>
      <w:r>
        <w:t xml:space="preserve"> apply to 202</w:t>
      </w:r>
      <w:r w:rsidR="00C703A0">
        <w:t>3</w:t>
      </w:r>
      <w:r>
        <w:t xml:space="preserve"> returns. </w:t>
      </w:r>
    </w:p>
    <w:p w14:paraId="4B6E582C" w14:textId="77777777" w:rsidR="00863021" w:rsidRDefault="00863021" w:rsidP="00863021">
      <w:pPr>
        <w:spacing w:after="0"/>
      </w:pPr>
    </w:p>
    <w:tbl>
      <w:tblPr>
        <w:tblStyle w:val="TableGrid"/>
        <w:tblW w:w="0" w:type="auto"/>
        <w:tblLook w:val="04A0" w:firstRow="1" w:lastRow="0" w:firstColumn="1" w:lastColumn="0" w:noHBand="0" w:noVBand="1"/>
      </w:tblPr>
      <w:tblGrid>
        <w:gridCol w:w="985"/>
        <w:gridCol w:w="1980"/>
        <w:gridCol w:w="1800"/>
        <w:gridCol w:w="1890"/>
        <w:gridCol w:w="1975"/>
      </w:tblGrid>
      <w:tr w:rsidR="00863021" w14:paraId="59F76CB2" w14:textId="77777777" w:rsidTr="009635C1">
        <w:tc>
          <w:tcPr>
            <w:tcW w:w="985" w:type="dxa"/>
          </w:tcPr>
          <w:p w14:paraId="63397403" w14:textId="77777777" w:rsidR="00863021" w:rsidRPr="009D501F" w:rsidRDefault="00863021" w:rsidP="009635C1">
            <w:pPr>
              <w:spacing w:after="0"/>
              <w:rPr>
                <w:b/>
              </w:rPr>
            </w:pPr>
            <w:bookmarkStart w:id="5" w:name="_Hlk28507897"/>
            <w:r w:rsidRPr="009D501F">
              <w:rPr>
                <w:b/>
              </w:rPr>
              <w:t>Rate</w:t>
            </w:r>
          </w:p>
        </w:tc>
        <w:tc>
          <w:tcPr>
            <w:tcW w:w="1980" w:type="dxa"/>
          </w:tcPr>
          <w:p w14:paraId="2E2483BD" w14:textId="77777777" w:rsidR="00863021" w:rsidRPr="009D501F" w:rsidRDefault="00863021" w:rsidP="009635C1">
            <w:pPr>
              <w:spacing w:after="0"/>
              <w:rPr>
                <w:b/>
              </w:rPr>
            </w:pPr>
            <w:r w:rsidRPr="009D501F">
              <w:rPr>
                <w:b/>
              </w:rPr>
              <w:t>Married filing jointly</w:t>
            </w:r>
            <w:r>
              <w:rPr>
                <w:b/>
              </w:rPr>
              <w:t xml:space="preserve"> (and surviving spouse)</w:t>
            </w:r>
          </w:p>
        </w:tc>
        <w:tc>
          <w:tcPr>
            <w:tcW w:w="1800" w:type="dxa"/>
          </w:tcPr>
          <w:p w14:paraId="49DEABAC" w14:textId="77777777" w:rsidR="00863021" w:rsidRPr="009D501F" w:rsidRDefault="00863021" w:rsidP="009635C1">
            <w:pPr>
              <w:spacing w:after="0"/>
              <w:rPr>
                <w:b/>
              </w:rPr>
            </w:pPr>
            <w:r w:rsidRPr="009D501F">
              <w:rPr>
                <w:b/>
              </w:rPr>
              <w:t xml:space="preserve">Head of household </w:t>
            </w:r>
          </w:p>
        </w:tc>
        <w:tc>
          <w:tcPr>
            <w:tcW w:w="1890" w:type="dxa"/>
          </w:tcPr>
          <w:p w14:paraId="7E6CC04B" w14:textId="77777777" w:rsidR="00863021" w:rsidRPr="009D501F" w:rsidRDefault="00863021" w:rsidP="009635C1">
            <w:pPr>
              <w:spacing w:after="0"/>
              <w:rPr>
                <w:b/>
              </w:rPr>
            </w:pPr>
            <w:r w:rsidRPr="009D501F">
              <w:rPr>
                <w:b/>
              </w:rPr>
              <w:t>Single</w:t>
            </w:r>
          </w:p>
        </w:tc>
        <w:tc>
          <w:tcPr>
            <w:tcW w:w="1975" w:type="dxa"/>
          </w:tcPr>
          <w:p w14:paraId="2D1A0325" w14:textId="77777777" w:rsidR="00863021" w:rsidRPr="009D501F" w:rsidRDefault="00863021" w:rsidP="009635C1">
            <w:pPr>
              <w:spacing w:after="0"/>
              <w:rPr>
                <w:b/>
              </w:rPr>
            </w:pPr>
            <w:r w:rsidRPr="009D501F">
              <w:rPr>
                <w:b/>
              </w:rPr>
              <w:t>Married filing separately</w:t>
            </w:r>
          </w:p>
        </w:tc>
      </w:tr>
      <w:tr w:rsidR="00863021" w:rsidRPr="0063790F" w14:paraId="7A848B26" w14:textId="77777777" w:rsidTr="009635C1">
        <w:tc>
          <w:tcPr>
            <w:tcW w:w="985" w:type="dxa"/>
          </w:tcPr>
          <w:p w14:paraId="0411C2BB" w14:textId="77777777" w:rsidR="00863021" w:rsidRPr="00246125" w:rsidRDefault="00863021" w:rsidP="009635C1">
            <w:pPr>
              <w:spacing w:after="0"/>
            </w:pPr>
            <w:r w:rsidRPr="00246125">
              <w:t>0%</w:t>
            </w:r>
          </w:p>
        </w:tc>
        <w:tc>
          <w:tcPr>
            <w:tcW w:w="1980" w:type="dxa"/>
          </w:tcPr>
          <w:p w14:paraId="38684026" w14:textId="53088B22" w:rsidR="00863021" w:rsidRPr="00246125" w:rsidRDefault="00863021" w:rsidP="009635C1">
            <w:pPr>
              <w:spacing w:after="0"/>
            </w:pPr>
            <w:r w:rsidRPr="00246125">
              <w:t>Up to $</w:t>
            </w:r>
            <w:r w:rsidR="00C703A0">
              <w:t>94,050</w:t>
            </w:r>
          </w:p>
        </w:tc>
        <w:tc>
          <w:tcPr>
            <w:tcW w:w="1800" w:type="dxa"/>
          </w:tcPr>
          <w:p w14:paraId="1271BED6" w14:textId="2EC0FC97" w:rsidR="00863021" w:rsidRPr="00246125" w:rsidRDefault="00863021" w:rsidP="009635C1">
            <w:pPr>
              <w:spacing w:after="0"/>
            </w:pPr>
            <w:r w:rsidRPr="00246125">
              <w:t>Up to $</w:t>
            </w:r>
            <w:r w:rsidR="00C703A0">
              <w:t>63,000</w:t>
            </w:r>
          </w:p>
        </w:tc>
        <w:tc>
          <w:tcPr>
            <w:tcW w:w="1890" w:type="dxa"/>
          </w:tcPr>
          <w:p w14:paraId="30B2C0BB" w14:textId="3D0C2B9D" w:rsidR="00863021" w:rsidRPr="00246125" w:rsidRDefault="00863021" w:rsidP="009635C1">
            <w:pPr>
              <w:spacing w:after="0"/>
            </w:pPr>
            <w:r w:rsidRPr="00246125">
              <w:t>Up to $</w:t>
            </w:r>
            <w:r w:rsidR="006223A7">
              <w:t>47,025</w:t>
            </w:r>
          </w:p>
        </w:tc>
        <w:tc>
          <w:tcPr>
            <w:tcW w:w="1975" w:type="dxa"/>
          </w:tcPr>
          <w:p w14:paraId="5498871F" w14:textId="3BD75DE0" w:rsidR="00863021" w:rsidRPr="00246125" w:rsidRDefault="00863021" w:rsidP="009635C1">
            <w:pPr>
              <w:spacing w:after="0"/>
            </w:pPr>
            <w:r w:rsidRPr="00246125">
              <w:t>Up to $</w:t>
            </w:r>
            <w:r w:rsidR="006223A7">
              <w:t>47,025</w:t>
            </w:r>
          </w:p>
        </w:tc>
      </w:tr>
      <w:tr w:rsidR="00863021" w:rsidRPr="0063790F" w14:paraId="622B0918" w14:textId="77777777" w:rsidTr="009635C1">
        <w:tc>
          <w:tcPr>
            <w:tcW w:w="985" w:type="dxa"/>
          </w:tcPr>
          <w:p w14:paraId="49DB174E" w14:textId="77777777" w:rsidR="00863021" w:rsidRPr="00246125" w:rsidRDefault="00863021" w:rsidP="009635C1">
            <w:pPr>
              <w:spacing w:after="0"/>
            </w:pPr>
            <w:r w:rsidRPr="00246125">
              <w:t>15%</w:t>
            </w:r>
          </w:p>
        </w:tc>
        <w:tc>
          <w:tcPr>
            <w:tcW w:w="1980" w:type="dxa"/>
          </w:tcPr>
          <w:p w14:paraId="7519F7C1" w14:textId="77587527" w:rsidR="00863021" w:rsidRPr="00246125" w:rsidRDefault="00863021" w:rsidP="009635C1">
            <w:pPr>
              <w:spacing w:after="0"/>
            </w:pPr>
            <w:r w:rsidRPr="00246125">
              <w:t>$</w:t>
            </w:r>
            <w:r w:rsidR="00C703A0">
              <w:t>94,050</w:t>
            </w:r>
            <w:r w:rsidRPr="00246125">
              <w:t xml:space="preserve"> - $</w:t>
            </w:r>
            <w:r w:rsidR="00C703A0">
              <w:t>583,750</w:t>
            </w:r>
          </w:p>
        </w:tc>
        <w:tc>
          <w:tcPr>
            <w:tcW w:w="1800" w:type="dxa"/>
          </w:tcPr>
          <w:p w14:paraId="0042A0F3" w14:textId="0A2BD00C" w:rsidR="00863021" w:rsidRPr="00246125" w:rsidRDefault="00863021" w:rsidP="009635C1">
            <w:pPr>
              <w:spacing w:after="0"/>
            </w:pPr>
            <w:r w:rsidRPr="00246125">
              <w:t>$</w:t>
            </w:r>
            <w:r w:rsidR="00C703A0">
              <w:t>63,000</w:t>
            </w:r>
            <w:r w:rsidRPr="00246125">
              <w:t xml:space="preserve"> - $</w:t>
            </w:r>
            <w:r w:rsidR="00C703A0">
              <w:t>551,350</w:t>
            </w:r>
          </w:p>
        </w:tc>
        <w:tc>
          <w:tcPr>
            <w:tcW w:w="1890" w:type="dxa"/>
          </w:tcPr>
          <w:p w14:paraId="17254B3E" w14:textId="377D395C" w:rsidR="00863021" w:rsidRPr="00246125" w:rsidRDefault="00863021" w:rsidP="009635C1">
            <w:pPr>
              <w:spacing w:after="0"/>
            </w:pPr>
            <w:r w:rsidRPr="00246125">
              <w:t>$</w:t>
            </w:r>
            <w:r w:rsidR="006223A7">
              <w:t>47,025</w:t>
            </w:r>
            <w:r w:rsidRPr="00246125">
              <w:t>- $</w:t>
            </w:r>
            <w:r w:rsidR="006223A7">
              <w:t>518,900</w:t>
            </w:r>
          </w:p>
        </w:tc>
        <w:tc>
          <w:tcPr>
            <w:tcW w:w="1975" w:type="dxa"/>
          </w:tcPr>
          <w:p w14:paraId="0CC44F83" w14:textId="5879A2A3" w:rsidR="00863021" w:rsidRPr="00246125" w:rsidRDefault="00863021" w:rsidP="009635C1">
            <w:pPr>
              <w:spacing w:after="0"/>
            </w:pPr>
            <w:r w:rsidRPr="00246125">
              <w:t>$</w:t>
            </w:r>
            <w:r w:rsidR="006223A7">
              <w:t>47,025</w:t>
            </w:r>
            <w:r w:rsidRPr="00246125">
              <w:t>- $</w:t>
            </w:r>
            <w:r w:rsidR="006223A7">
              <w:t>291,850</w:t>
            </w:r>
          </w:p>
        </w:tc>
      </w:tr>
      <w:tr w:rsidR="00863021" w14:paraId="536F2A05" w14:textId="77777777" w:rsidTr="009635C1">
        <w:tc>
          <w:tcPr>
            <w:tcW w:w="985" w:type="dxa"/>
          </w:tcPr>
          <w:p w14:paraId="2808CC12" w14:textId="77777777" w:rsidR="00863021" w:rsidRPr="00246125" w:rsidRDefault="00863021" w:rsidP="009635C1">
            <w:pPr>
              <w:spacing w:after="0"/>
            </w:pPr>
            <w:r w:rsidRPr="00246125">
              <w:t>20%</w:t>
            </w:r>
          </w:p>
        </w:tc>
        <w:tc>
          <w:tcPr>
            <w:tcW w:w="1980" w:type="dxa"/>
          </w:tcPr>
          <w:p w14:paraId="74899F3C" w14:textId="08A1CB7D" w:rsidR="00863021" w:rsidRPr="00246125" w:rsidRDefault="00863021" w:rsidP="009635C1">
            <w:pPr>
              <w:spacing w:after="0"/>
            </w:pPr>
            <w:r w:rsidRPr="00246125">
              <w:t>Over $</w:t>
            </w:r>
            <w:r w:rsidR="00C703A0">
              <w:t>583,750</w:t>
            </w:r>
          </w:p>
        </w:tc>
        <w:tc>
          <w:tcPr>
            <w:tcW w:w="1800" w:type="dxa"/>
          </w:tcPr>
          <w:p w14:paraId="5EAEB2B0" w14:textId="415B3473" w:rsidR="00863021" w:rsidRPr="00246125" w:rsidRDefault="00863021" w:rsidP="009635C1">
            <w:pPr>
              <w:spacing w:after="0"/>
            </w:pPr>
            <w:r w:rsidRPr="00246125">
              <w:t>Over $</w:t>
            </w:r>
            <w:r w:rsidR="00C703A0">
              <w:t>551,350</w:t>
            </w:r>
          </w:p>
        </w:tc>
        <w:tc>
          <w:tcPr>
            <w:tcW w:w="1890" w:type="dxa"/>
          </w:tcPr>
          <w:p w14:paraId="6F09E75F" w14:textId="14BC2927" w:rsidR="00863021" w:rsidRPr="00246125" w:rsidRDefault="00863021" w:rsidP="009635C1">
            <w:pPr>
              <w:spacing w:after="0"/>
            </w:pPr>
            <w:r w:rsidRPr="00246125">
              <w:t>Over $</w:t>
            </w:r>
            <w:r w:rsidR="006223A7">
              <w:t>518,900</w:t>
            </w:r>
          </w:p>
        </w:tc>
        <w:tc>
          <w:tcPr>
            <w:tcW w:w="1975" w:type="dxa"/>
          </w:tcPr>
          <w:p w14:paraId="69FE14C1" w14:textId="285F4CF1" w:rsidR="00863021" w:rsidRPr="00246125" w:rsidRDefault="00863021" w:rsidP="009635C1">
            <w:pPr>
              <w:spacing w:after="0"/>
            </w:pPr>
            <w:r w:rsidRPr="00246125">
              <w:t>Over $</w:t>
            </w:r>
            <w:r w:rsidR="006223A7">
              <w:t>291,850</w:t>
            </w:r>
          </w:p>
        </w:tc>
      </w:tr>
      <w:bookmarkEnd w:id="5"/>
    </w:tbl>
    <w:p w14:paraId="6AABEFF5" w14:textId="77777777" w:rsidR="00863021" w:rsidRDefault="00863021" w:rsidP="00863021">
      <w:pPr>
        <w:spacing w:after="0"/>
      </w:pPr>
    </w:p>
    <w:p w14:paraId="61218AA7" w14:textId="77777777" w:rsidR="00863021" w:rsidRPr="00F91119" w:rsidRDefault="00863021" w:rsidP="00E01AE2">
      <w:pPr>
        <w:pStyle w:val="Heading2"/>
      </w:pPr>
    </w:p>
    <w:p w14:paraId="5ED12426" w14:textId="77777777" w:rsidR="00863021" w:rsidRPr="006A0088" w:rsidRDefault="00863021" w:rsidP="00E01AE2">
      <w:pPr>
        <w:pStyle w:val="Heading2"/>
      </w:pPr>
      <w:r w:rsidRPr="006A0088">
        <w:t>Chapter 6—Gains and Losses from Sales of Business Property</w:t>
      </w:r>
    </w:p>
    <w:p w14:paraId="72134D32" w14:textId="77777777" w:rsidR="004D76E6" w:rsidRPr="000622BF" w:rsidRDefault="004D76E6" w:rsidP="004D76E6">
      <w:pPr>
        <w:spacing w:after="0"/>
        <w:rPr>
          <w:bCs/>
          <w:iCs/>
        </w:rPr>
      </w:pPr>
      <w:r>
        <w:rPr>
          <w:b/>
          <w:i/>
        </w:rPr>
        <w:t xml:space="preserve">Like-kind exchanges. </w:t>
      </w:r>
      <w:r>
        <w:rPr>
          <w:bCs/>
          <w:iCs/>
        </w:rPr>
        <w:t>The IRS said that land development rights are “real property” for purposes of like-kind exchange rules.</w:t>
      </w:r>
    </w:p>
    <w:p w14:paraId="59759C14" w14:textId="77777777" w:rsidR="004D76E6" w:rsidRDefault="004D76E6" w:rsidP="0012453B">
      <w:pPr>
        <w:spacing w:after="0"/>
        <w:rPr>
          <w:b/>
          <w:i/>
        </w:rPr>
      </w:pPr>
    </w:p>
    <w:p w14:paraId="166C9604" w14:textId="7BF48647" w:rsidR="0012453B" w:rsidRDefault="0012453B" w:rsidP="0012453B">
      <w:pPr>
        <w:spacing w:after="0"/>
      </w:pPr>
      <w:r>
        <w:rPr>
          <w:b/>
          <w:i/>
        </w:rPr>
        <w:t xml:space="preserve">QOZBs. </w:t>
      </w:r>
      <w:r>
        <w:t>There ha</w:t>
      </w:r>
      <w:r w:rsidR="002E62F8">
        <w:t>ve</w:t>
      </w:r>
      <w:r>
        <w:t xml:space="preserve"> been no developments on whether cannabis businesses can be Qualified Opportunity Zone Businesses (QOZBs</w:t>
      </w:r>
      <w:r w:rsidRPr="00F04456">
        <w:t>).</w:t>
      </w:r>
    </w:p>
    <w:p w14:paraId="53AB9B09" w14:textId="77777777" w:rsidR="0012453B" w:rsidRDefault="0012453B" w:rsidP="00E01AE2">
      <w:pPr>
        <w:pStyle w:val="Heading2"/>
      </w:pPr>
    </w:p>
    <w:p w14:paraId="02536584" w14:textId="77777777" w:rsidR="00863021" w:rsidRPr="00E01AE2" w:rsidRDefault="00863021" w:rsidP="00E01AE2">
      <w:pPr>
        <w:pStyle w:val="Heading2"/>
      </w:pPr>
      <w:r w:rsidRPr="00E01AE2">
        <w:t>Chapter 7—Employee Compensation</w:t>
      </w:r>
    </w:p>
    <w:p w14:paraId="5A59E18C" w14:textId="39997E93" w:rsidR="00863021" w:rsidRDefault="00863021" w:rsidP="00863021">
      <w:pPr>
        <w:spacing w:after="0"/>
      </w:pPr>
      <w:r>
        <w:rPr>
          <w:b/>
          <w:i/>
        </w:rPr>
        <w:t xml:space="preserve">Adoption assistance. </w:t>
      </w:r>
      <w:r>
        <w:t xml:space="preserve">For planning purposes, the dollar limit on the exclusion for employer assistance for adoption costs </w:t>
      </w:r>
      <w:r w:rsidR="00CB4FFF">
        <w:t>is</w:t>
      </w:r>
      <w:r>
        <w:t xml:space="preserve"> </w:t>
      </w:r>
      <w:r w:rsidRPr="00F04456">
        <w:t>$</w:t>
      </w:r>
      <w:r w:rsidR="0012453B">
        <w:t>16,810</w:t>
      </w:r>
      <w:r w:rsidRPr="00FC40AE">
        <w:t xml:space="preserve"> for 20</w:t>
      </w:r>
      <w:r>
        <w:t>2</w:t>
      </w:r>
      <w:r w:rsidR="0012453B">
        <w:t>4</w:t>
      </w:r>
      <w:r w:rsidRPr="00F04456">
        <w:t xml:space="preserve"> (up </w:t>
      </w:r>
      <w:r>
        <w:t>from $</w:t>
      </w:r>
      <w:r w:rsidR="0012453B">
        <w:t>15,950</w:t>
      </w:r>
      <w:r>
        <w:t xml:space="preserve"> in </w:t>
      </w:r>
      <w:r w:rsidRPr="00F04456">
        <w:t>20</w:t>
      </w:r>
      <w:r>
        <w:t>2</w:t>
      </w:r>
      <w:r w:rsidR="0012453B">
        <w:t>3</w:t>
      </w:r>
      <w:r w:rsidRPr="00F04456">
        <w:t>).</w:t>
      </w:r>
    </w:p>
    <w:p w14:paraId="452E8BB4" w14:textId="77777777" w:rsidR="00863021" w:rsidRDefault="00863021" w:rsidP="00863021">
      <w:pPr>
        <w:spacing w:after="0"/>
        <w:rPr>
          <w:b/>
          <w:bCs/>
          <w:i/>
          <w:iCs/>
        </w:rPr>
      </w:pPr>
    </w:p>
    <w:p w14:paraId="25B25C0C" w14:textId="7A1309DB" w:rsidR="00863021" w:rsidRPr="009A25C9" w:rsidRDefault="00863021" w:rsidP="00863021">
      <w:pPr>
        <w:spacing w:after="0"/>
        <w:rPr>
          <w:bCs/>
        </w:rPr>
      </w:pPr>
      <w:r>
        <w:rPr>
          <w:b/>
          <w:i/>
        </w:rPr>
        <w:t xml:space="preserve">Flexible spending accounts (FSAs) for medical expenses and dependent care expenses. </w:t>
      </w:r>
      <w:r>
        <w:t>For planning purposes, the maximum elective deferral for health FSAs in 202</w:t>
      </w:r>
      <w:r w:rsidR="0012453B">
        <w:t>4</w:t>
      </w:r>
      <w:r>
        <w:t xml:space="preserve"> is </w:t>
      </w:r>
      <w:r w:rsidRPr="00246125">
        <w:t>$</w:t>
      </w:r>
      <w:r>
        <w:t>3,</w:t>
      </w:r>
      <w:r w:rsidR="0012453B">
        <w:t>200</w:t>
      </w:r>
      <w:r>
        <w:t xml:space="preserve"> (up from $</w:t>
      </w:r>
      <w:r w:rsidR="0012453B">
        <w:t>3,050</w:t>
      </w:r>
      <w:r>
        <w:t xml:space="preserve"> in 202</w:t>
      </w:r>
      <w:r w:rsidR="0012453B">
        <w:t>3</w:t>
      </w:r>
      <w:r>
        <w:t>)</w:t>
      </w:r>
      <w:r w:rsidRPr="00D5237C">
        <w:t>.</w:t>
      </w:r>
      <w:r>
        <w:t xml:space="preserve"> The maximum carryover permitted from unused 2023 health FSAs to 2023 is capped at $610; the carryover applies only if the plan adopts it and does not use a grace period. </w:t>
      </w:r>
      <w:r w:rsidRPr="009A25C9">
        <w:rPr>
          <w:rFonts w:ascii="Times" w:hAnsi="Times" w:cs="Times"/>
          <w:bCs/>
        </w:rPr>
        <w:t>Dependent care FSAs can allow a grace period but cannot have a carryover for unused 202</w:t>
      </w:r>
      <w:r w:rsidR="0012453B">
        <w:rPr>
          <w:rFonts w:ascii="Times" w:hAnsi="Times" w:cs="Times"/>
          <w:bCs/>
        </w:rPr>
        <w:t>4</w:t>
      </w:r>
      <w:r w:rsidRPr="009A25C9">
        <w:rPr>
          <w:rFonts w:ascii="Times" w:hAnsi="Times" w:cs="Times"/>
          <w:bCs/>
        </w:rPr>
        <w:t xml:space="preserve"> amounts to 202</w:t>
      </w:r>
      <w:r w:rsidR="0012453B">
        <w:rPr>
          <w:rFonts w:ascii="Times" w:hAnsi="Times" w:cs="Times"/>
          <w:bCs/>
        </w:rPr>
        <w:t>5</w:t>
      </w:r>
      <w:r w:rsidRPr="009A25C9">
        <w:rPr>
          <w:rFonts w:ascii="Times" w:hAnsi="Times" w:cs="Times"/>
          <w:bCs/>
        </w:rPr>
        <w:t>. For health FSAs or dependent care FSAs with a grace period, unused expenses from 202</w:t>
      </w:r>
      <w:r w:rsidR="0012453B">
        <w:rPr>
          <w:rFonts w:ascii="Times" w:hAnsi="Times" w:cs="Times"/>
          <w:bCs/>
        </w:rPr>
        <w:t>4</w:t>
      </w:r>
      <w:r w:rsidRPr="009A25C9">
        <w:rPr>
          <w:rFonts w:ascii="Times" w:hAnsi="Times" w:cs="Times"/>
          <w:bCs/>
        </w:rPr>
        <w:t xml:space="preserve"> must be spent by March 15, 202</w:t>
      </w:r>
      <w:r w:rsidR="0012453B">
        <w:rPr>
          <w:rFonts w:ascii="Times" w:hAnsi="Times" w:cs="Times"/>
          <w:bCs/>
        </w:rPr>
        <w:t>5</w:t>
      </w:r>
      <w:r w:rsidRPr="009A25C9">
        <w:rPr>
          <w:rFonts w:ascii="Times" w:hAnsi="Times" w:cs="Times"/>
          <w:bCs/>
        </w:rPr>
        <w:t xml:space="preserve"> (or within 2</w:t>
      </w:r>
      <w:r w:rsidR="00CB4FFF">
        <w:rPr>
          <w:rFonts w:ascii="Times" w:hAnsi="Times" w:cs="Times"/>
          <w:bCs/>
        </w:rPr>
        <w:t xml:space="preserve">½ </w:t>
      </w:r>
      <w:r w:rsidRPr="009A25C9">
        <w:rPr>
          <w:rFonts w:ascii="Times" w:hAnsi="Times" w:cs="Times"/>
          <w:bCs/>
        </w:rPr>
        <w:t>months after the end of the 202</w:t>
      </w:r>
      <w:r w:rsidR="0012453B">
        <w:rPr>
          <w:rFonts w:ascii="Times" w:hAnsi="Times" w:cs="Times"/>
          <w:bCs/>
        </w:rPr>
        <w:t>4</w:t>
      </w:r>
      <w:r w:rsidRPr="009A25C9">
        <w:rPr>
          <w:rFonts w:ascii="Times" w:hAnsi="Times" w:cs="Times"/>
          <w:bCs/>
        </w:rPr>
        <w:t xml:space="preserve"> plan year if a fiscal-year plan).  </w:t>
      </w:r>
    </w:p>
    <w:p w14:paraId="4682022A" w14:textId="77777777" w:rsidR="00863021" w:rsidRDefault="00863021" w:rsidP="00863021">
      <w:pPr>
        <w:spacing w:after="0"/>
        <w:rPr>
          <w:b/>
          <w:i/>
        </w:rPr>
      </w:pPr>
    </w:p>
    <w:p w14:paraId="0499DBE1" w14:textId="49C9B90E" w:rsidR="00863021" w:rsidRPr="00367FC6" w:rsidRDefault="00863021" w:rsidP="00863021">
      <w:pPr>
        <w:spacing w:after="0"/>
      </w:pPr>
      <w:r>
        <w:rPr>
          <w:b/>
          <w:i/>
        </w:rPr>
        <w:t xml:space="preserve">Employee use of company car. </w:t>
      </w:r>
      <w:r w:rsidRPr="00367FC6">
        <w:t>For planning purposes, in valuing employee use of a company car in 20</w:t>
      </w:r>
      <w:r>
        <w:t>2</w:t>
      </w:r>
      <w:r w:rsidR="00E04C41">
        <w:t>4</w:t>
      </w:r>
      <w:r w:rsidRPr="00367FC6">
        <w:t xml:space="preserve"> or for purposes of reimbursements under accountable plans, the IRS standard mileage rate is </w:t>
      </w:r>
      <w:r w:rsidR="00E04C41">
        <w:t>67</w:t>
      </w:r>
      <w:r w:rsidRPr="00367FC6">
        <w:t>¢ per mile</w:t>
      </w:r>
      <w:r w:rsidR="00CB4FFF">
        <w:t xml:space="preserve"> (</w:t>
      </w:r>
      <w:r w:rsidRPr="00367FC6">
        <w:t xml:space="preserve">up from </w:t>
      </w:r>
      <w:r>
        <w:t>6</w:t>
      </w:r>
      <w:r w:rsidR="00E04C41">
        <w:t>5</w:t>
      </w:r>
      <w:r>
        <w:t>.5</w:t>
      </w:r>
      <w:r w:rsidRPr="00367FC6">
        <w:t xml:space="preserve">¢ per mile </w:t>
      </w:r>
      <w:r>
        <w:t xml:space="preserve">in </w:t>
      </w:r>
      <w:r w:rsidR="00E04C41">
        <w:t>2023</w:t>
      </w:r>
      <w:r w:rsidR="00CB4FFF">
        <w:t>)</w:t>
      </w:r>
      <w:r w:rsidRPr="00367FC6">
        <w:t>.</w:t>
      </w:r>
    </w:p>
    <w:p w14:paraId="1D94F951" w14:textId="53C21159" w:rsidR="00863021" w:rsidRPr="00367FC6" w:rsidRDefault="00863021" w:rsidP="00863021">
      <w:pPr>
        <w:spacing w:after="0"/>
        <w:ind w:firstLine="720"/>
      </w:pPr>
      <w:r w:rsidRPr="00367FC6">
        <w:t>The fixed and variable rate allowance (FAVR) in 202</w:t>
      </w:r>
      <w:r w:rsidR="00CB4FFF">
        <w:t>4</w:t>
      </w:r>
      <w:r w:rsidRPr="00367FC6">
        <w:t xml:space="preserve"> is limited to vehicles with a fair market value not exceeding $</w:t>
      </w:r>
      <w:r w:rsidR="00E04C41">
        <w:t>62,000</w:t>
      </w:r>
      <w:r w:rsidRPr="00367FC6">
        <w:t xml:space="preserve"> for cars, trucks, and vans. The limit in 202</w:t>
      </w:r>
      <w:r w:rsidR="00CB4FFF">
        <w:t>3</w:t>
      </w:r>
      <w:r w:rsidRPr="00367FC6">
        <w:t xml:space="preserve"> was $</w:t>
      </w:r>
      <w:r w:rsidR="00E04C41">
        <w:t>60,800</w:t>
      </w:r>
      <w:r w:rsidRPr="00367FC6">
        <w:t>.</w:t>
      </w:r>
    </w:p>
    <w:p w14:paraId="772D6334" w14:textId="11CB19D4" w:rsidR="00863021" w:rsidRDefault="00863021" w:rsidP="00863021">
      <w:pPr>
        <w:spacing w:after="0"/>
        <w:ind w:firstLine="720"/>
      </w:pPr>
      <w:r w:rsidRPr="00367FC6">
        <w:lastRenderedPageBreak/>
        <w:t xml:space="preserve">Car and truck values </w:t>
      </w:r>
      <w:proofErr w:type="gramStart"/>
      <w:r w:rsidRPr="00367FC6">
        <w:t>taken into account</w:t>
      </w:r>
      <w:proofErr w:type="gramEnd"/>
      <w:r w:rsidRPr="00367FC6">
        <w:t xml:space="preserve"> by employers using the cents-per-mile valuation rule or the fleet valuation rule for valuing personal use of a company vehicle in 202</w:t>
      </w:r>
      <w:r w:rsidR="00CB4FFF">
        <w:t>4</w:t>
      </w:r>
      <w:r w:rsidRPr="00367FC6">
        <w:t xml:space="preserve"> are capped at $</w:t>
      </w:r>
      <w:r w:rsidR="00E04C41">
        <w:t>62,000</w:t>
      </w:r>
      <w:r w:rsidRPr="00367FC6">
        <w:t>.</w:t>
      </w:r>
      <w:r>
        <w:t xml:space="preserve"> </w:t>
      </w:r>
    </w:p>
    <w:p w14:paraId="2343A65F" w14:textId="77777777" w:rsidR="00863021" w:rsidRDefault="00863021" w:rsidP="00863021">
      <w:pPr>
        <w:spacing w:after="0"/>
        <w:rPr>
          <w:b/>
          <w:i/>
        </w:rPr>
      </w:pPr>
    </w:p>
    <w:p w14:paraId="75525450" w14:textId="1758B4C7" w:rsidR="00863021" w:rsidRDefault="00863021" w:rsidP="00863021">
      <w:pPr>
        <w:spacing w:after="0"/>
      </w:pPr>
      <w:r>
        <w:rPr>
          <w:b/>
          <w:i/>
        </w:rPr>
        <w:t xml:space="preserve">Qualified transportation fringe benefits. </w:t>
      </w:r>
      <w:r>
        <w:t>Employers cannot deduct these fringe benefits, but if they choose to provide the benefits or arrange for employees to pay for these costs on a pre-tax basis, employees can exclude up to $300 per month for free parking, transit passes, and van pooling for 202</w:t>
      </w:r>
      <w:r w:rsidR="00CB4FFF">
        <w:t>4</w:t>
      </w:r>
      <w:r>
        <w:t xml:space="preserve"> (up from $280 per month in 202</w:t>
      </w:r>
      <w:r w:rsidR="00CB4FFF">
        <w:t>3</w:t>
      </w:r>
      <w:r>
        <w:t xml:space="preserve">).  </w:t>
      </w:r>
    </w:p>
    <w:p w14:paraId="72797E0A" w14:textId="77777777" w:rsidR="00863021" w:rsidRDefault="00863021" w:rsidP="00863021">
      <w:pPr>
        <w:spacing w:after="0"/>
        <w:rPr>
          <w:b/>
          <w:i/>
        </w:rPr>
      </w:pPr>
    </w:p>
    <w:p w14:paraId="3DE42F1A" w14:textId="00491624" w:rsidR="001E6010" w:rsidRDefault="001E6010" w:rsidP="00863021">
      <w:pPr>
        <w:spacing w:after="0"/>
        <w:rPr>
          <w:bCs/>
          <w:iCs/>
        </w:rPr>
      </w:pPr>
      <w:bookmarkStart w:id="6" w:name="_Hlk154393698"/>
      <w:r>
        <w:rPr>
          <w:b/>
          <w:i/>
        </w:rPr>
        <w:t xml:space="preserve">Leave-based donation programs. </w:t>
      </w:r>
      <w:r>
        <w:rPr>
          <w:bCs/>
          <w:iCs/>
        </w:rPr>
        <w:t>If an employer has a leave-based donation program that allows for contributions intended to benefit victims of the Hawaii wildfires in August 2023, employees are not taxed on their contributions of unused vacation, sick, and personal days, provided the employer donated by December 31, 2023, a cash equivalent to a charity benefiting the victims.</w:t>
      </w:r>
      <w:r w:rsidR="00372CC8">
        <w:rPr>
          <w:bCs/>
          <w:iCs/>
        </w:rPr>
        <w:t xml:space="preserve"> Employees cannot claim a charitable contribution deduction; the employer can.</w:t>
      </w:r>
    </w:p>
    <w:p w14:paraId="3AD940C2" w14:textId="77777777" w:rsidR="00372CC8" w:rsidRPr="001E6010" w:rsidRDefault="00372CC8" w:rsidP="00863021">
      <w:pPr>
        <w:spacing w:after="0"/>
        <w:rPr>
          <w:bCs/>
          <w:iCs/>
        </w:rPr>
      </w:pPr>
    </w:p>
    <w:bookmarkEnd w:id="6"/>
    <w:p w14:paraId="39E544F0" w14:textId="08764FE8" w:rsidR="00863021" w:rsidRPr="00EC37DC" w:rsidRDefault="00863021" w:rsidP="00863021">
      <w:pPr>
        <w:spacing w:after="0"/>
        <w:rPr>
          <w:bCs/>
          <w:iCs/>
        </w:rPr>
      </w:pPr>
      <w:r>
        <w:rPr>
          <w:b/>
          <w:i/>
        </w:rPr>
        <w:t xml:space="preserve">Frequent flyer miles. </w:t>
      </w:r>
      <w:r>
        <w:rPr>
          <w:bCs/>
          <w:iCs/>
        </w:rPr>
        <w:t xml:space="preserve">The IRS has not </w:t>
      </w:r>
      <w:r w:rsidR="00E04C41">
        <w:rPr>
          <w:bCs/>
          <w:iCs/>
        </w:rPr>
        <w:t xml:space="preserve">made </w:t>
      </w:r>
      <w:r>
        <w:rPr>
          <w:bCs/>
          <w:iCs/>
        </w:rPr>
        <w:t xml:space="preserve">changes </w:t>
      </w:r>
      <w:r w:rsidR="001E6010">
        <w:rPr>
          <w:bCs/>
          <w:iCs/>
        </w:rPr>
        <w:t xml:space="preserve">to </w:t>
      </w:r>
      <w:r>
        <w:rPr>
          <w:bCs/>
          <w:iCs/>
        </w:rPr>
        <w:t>the rule that allows the personal use of frequent flyer miles generated by business flights to be a tax-free fringe benefit.</w:t>
      </w:r>
    </w:p>
    <w:p w14:paraId="2B92760B" w14:textId="77777777" w:rsidR="00863021" w:rsidRDefault="00863021" w:rsidP="00863021">
      <w:pPr>
        <w:spacing w:after="0"/>
        <w:rPr>
          <w:b/>
          <w:i/>
        </w:rPr>
      </w:pPr>
    </w:p>
    <w:p w14:paraId="744B703C" w14:textId="6845CFDA" w:rsidR="00863021" w:rsidRDefault="00863021" w:rsidP="00E04C41">
      <w:pPr>
        <w:spacing w:after="0"/>
        <w:rPr>
          <w:bCs/>
          <w:iCs/>
        </w:rPr>
      </w:pPr>
      <w:r w:rsidRPr="00B37BC9">
        <w:rPr>
          <w:b/>
          <w:i/>
        </w:rPr>
        <w:t xml:space="preserve">Employment-related tax credits. </w:t>
      </w:r>
      <w:r w:rsidR="00FA191E">
        <w:rPr>
          <w:bCs/>
          <w:iCs/>
        </w:rPr>
        <w:t>There have been several developments concerning the employee retention credit (ERC).</w:t>
      </w:r>
    </w:p>
    <w:p w14:paraId="36E52C78" w14:textId="6E169D25" w:rsidR="00FA191E" w:rsidRPr="00FA191E" w:rsidRDefault="00452F2C" w:rsidP="00FA191E">
      <w:pPr>
        <w:pStyle w:val="ListParagraph"/>
        <w:numPr>
          <w:ilvl w:val="0"/>
          <w:numId w:val="44"/>
        </w:numPr>
        <w:spacing w:after="0"/>
        <w:rPr>
          <w:bCs/>
          <w:iCs/>
        </w:rPr>
      </w:pPr>
      <w:r>
        <w:rPr>
          <w:bCs/>
          <w:iCs/>
        </w:rPr>
        <w:t>The IRS suspended processing of ERC credit claims through December 31, 2023.</w:t>
      </w:r>
    </w:p>
    <w:p w14:paraId="00160EDB" w14:textId="3BB8B408" w:rsidR="00A56D3B" w:rsidRPr="00A56D3B" w:rsidRDefault="00A56D3B" w:rsidP="00FA191E">
      <w:pPr>
        <w:pStyle w:val="ListParagraph"/>
        <w:numPr>
          <w:ilvl w:val="0"/>
          <w:numId w:val="44"/>
        </w:numPr>
        <w:spacing w:after="0"/>
        <w:rPr>
          <w:bCs/>
          <w:iCs/>
        </w:rPr>
      </w:pPr>
      <w:r>
        <w:rPr>
          <w:bCs/>
          <w:iCs/>
        </w:rPr>
        <w:t xml:space="preserve">An ERC refund claim can be withdrawn to avoid repayment of taxes, plus interest and penalties, if the IRS determines the claim is invalid. In effect, the withdrawn claim is treated as if it had never been made. This option was scheduled to run at least through December 31, 2023 (see </w:t>
      </w:r>
      <w:hyperlink r:id="rId9" w:history="1">
        <w:r w:rsidRPr="002E62F8">
          <w:rPr>
            <w:rStyle w:val="Hyperlink"/>
            <w:bCs/>
            <w:iCs/>
          </w:rPr>
          <w:t>FS-2023-24</w:t>
        </w:r>
      </w:hyperlink>
      <w:r w:rsidR="002E62F8">
        <w:rPr>
          <w:bCs/>
          <w:iCs/>
        </w:rPr>
        <w:t>)</w:t>
      </w:r>
      <w:hyperlink r:id="rId10" w:history="1">
        <w:hyperlink r:id="rId11" w:history="1"/>
      </w:hyperlink>
      <w:r>
        <w:rPr>
          <w:bCs/>
          <w:iCs/>
        </w:rPr>
        <w:t xml:space="preserve">. </w:t>
      </w:r>
      <w:r w:rsidR="00CB4FFF">
        <w:rPr>
          <w:bCs/>
          <w:iCs/>
        </w:rPr>
        <w:t>As of February 1, 2024,</w:t>
      </w:r>
      <w:r>
        <w:rPr>
          <w:bCs/>
          <w:iCs/>
        </w:rPr>
        <w:t xml:space="preserve"> IRS ha</w:t>
      </w:r>
      <w:r w:rsidR="00CB4FFF">
        <w:rPr>
          <w:bCs/>
          <w:iCs/>
        </w:rPr>
        <w:t>d</w:t>
      </w:r>
      <w:r>
        <w:rPr>
          <w:bCs/>
          <w:iCs/>
        </w:rPr>
        <w:t xml:space="preserve"> not announced its end.</w:t>
      </w:r>
    </w:p>
    <w:p w14:paraId="1BEE5E46" w14:textId="194764B0" w:rsidR="00FA191E" w:rsidRPr="00256630" w:rsidRDefault="00FA191E" w:rsidP="00FA191E">
      <w:pPr>
        <w:pStyle w:val="ListParagraph"/>
        <w:numPr>
          <w:ilvl w:val="0"/>
          <w:numId w:val="44"/>
        </w:numPr>
        <w:spacing w:after="0"/>
        <w:rPr>
          <w:bCs/>
          <w:iCs/>
        </w:rPr>
      </w:pPr>
      <w:r>
        <w:t xml:space="preserve">Those who </w:t>
      </w:r>
      <w:r w:rsidRPr="00FA191E">
        <w:t>erroneously claimed the ERC and received a credit or refund</w:t>
      </w:r>
      <w:r>
        <w:t xml:space="preserve"> </w:t>
      </w:r>
      <w:r w:rsidRPr="00FA191E">
        <w:t>can</w:t>
      </w:r>
      <w:r w:rsidRPr="00FA191E">
        <w:rPr>
          <w:rFonts w:ascii="Comic Sans MS" w:hAnsi="Comic Sans MS"/>
        </w:rPr>
        <w:t xml:space="preserve"> </w:t>
      </w:r>
      <w:r w:rsidRPr="00FA191E">
        <w:t xml:space="preserve">avoid an audit, plus interest and penalties, if </w:t>
      </w:r>
      <w:r>
        <w:t>they</w:t>
      </w:r>
      <w:r w:rsidRPr="00FA191E">
        <w:t xml:space="preserve"> use </w:t>
      </w:r>
      <w:r>
        <w:t xml:space="preserve">a new program: Employee Retention Credit Voluntary Disclosure Program. </w:t>
      </w:r>
      <w:r w:rsidRPr="00FA191E">
        <w:t xml:space="preserve">Form 15424, </w:t>
      </w:r>
      <w:r w:rsidRPr="00FA191E">
        <w:rPr>
          <w:i/>
          <w:iCs/>
        </w:rPr>
        <w:t>Application for Employee Retention Credit Voluntary Disclosure Program</w:t>
      </w:r>
      <w:r w:rsidRPr="00FA191E">
        <w:t xml:space="preserve"> (prepared under penalty of perjury) </w:t>
      </w:r>
      <w:r>
        <w:t xml:space="preserve">must be submitted </w:t>
      </w:r>
      <w:r w:rsidRPr="00FA191E">
        <w:t xml:space="preserve">by March 22, 2024. Also remit 80% of the credit or refund that was received through EFTPS.gov (select the category “Advanced Payment”). No interest is being charged. But </w:t>
      </w:r>
      <w:r>
        <w:t>there are</w:t>
      </w:r>
      <w:r w:rsidRPr="00FA191E">
        <w:t xml:space="preserve"> eligibility requirements. Those unable to remit full payment may be able to get an installment plan, but interest is charged in this case.</w:t>
      </w:r>
      <w:r>
        <w:t xml:space="preserve"> Find more details about the program in </w:t>
      </w:r>
      <w:hyperlink r:id="rId12" w:history="1">
        <w:r w:rsidRPr="009B7BAF">
          <w:rPr>
            <w:rStyle w:val="Hyperlink"/>
          </w:rPr>
          <w:t>Announcement 2024-3</w:t>
        </w:r>
      </w:hyperlink>
      <w:r w:rsidRPr="00FA191E">
        <w:t xml:space="preserve">. </w:t>
      </w:r>
    </w:p>
    <w:p w14:paraId="0DD66A98" w14:textId="71D8C19B" w:rsidR="00256630" w:rsidRPr="00256630" w:rsidRDefault="00256630" w:rsidP="00FA191E">
      <w:pPr>
        <w:pStyle w:val="ListParagraph"/>
        <w:numPr>
          <w:ilvl w:val="0"/>
          <w:numId w:val="44"/>
        </w:numPr>
        <w:spacing w:after="0"/>
        <w:rPr>
          <w:bCs/>
          <w:iCs/>
        </w:rPr>
      </w:pPr>
      <w:r>
        <w:t>The IRS has an additional 5 years to assess taxes with respect to erroneous ERC claims for the third quarter of 2021 (i.e., until 2027).</w:t>
      </w:r>
    </w:p>
    <w:p w14:paraId="3E7B6664" w14:textId="31569565" w:rsidR="00256630" w:rsidRPr="00256630" w:rsidRDefault="00DA15BE" w:rsidP="00256630">
      <w:pPr>
        <w:spacing w:after="0"/>
        <w:rPr>
          <w:bCs/>
          <w:iCs/>
        </w:rPr>
      </w:pPr>
      <w:r>
        <w:rPr>
          <w:b/>
          <w:i/>
        </w:rPr>
        <w:t>Caution</w:t>
      </w:r>
      <w:r w:rsidR="00256630">
        <w:rPr>
          <w:b/>
          <w:i/>
        </w:rPr>
        <w:t xml:space="preserve">: </w:t>
      </w:r>
      <w:r w:rsidR="00256630">
        <w:rPr>
          <w:bCs/>
          <w:iCs/>
        </w:rPr>
        <w:t>There is still time to file legitimate ERC refund claims for certain quarter</w:t>
      </w:r>
      <w:r>
        <w:rPr>
          <w:bCs/>
          <w:iCs/>
        </w:rPr>
        <w:t>s</w:t>
      </w:r>
      <w:r w:rsidR="00256630">
        <w:rPr>
          <w:bCs/>
          <w:iCs/>
        </w:rPr>
        <w:t>; the deadlines end during 2024 and 2025.</w:t>
      </w:r>
      <w:r>
        <w:rPr>
          <w:bCs/>
          <w:iCs/>
        </w:rPr>
        <w:t xml:space="preserve"> However, the Tax Relief for American Families and Workers Act of 2024, if enacted, would have ended the period for claiming a refund on January 31, 2024.</w:t>
      </w:r>
    </w:p>
    <w:p w14:paraId="0D1DA430" w14:textId="77777777" w:rsidR="00863021" w:rsidRDefault="00863021" w:rsidP="00863021">
      <w:pPr>
        <w:spacing w:after="0"/>
        <w:rPr>
          <w:bCs/>
          <w:iCs/>
        </w:rPr>
      </w:pPr>
    </w:p>
    <w:p w14:paraId="01A4970B" w14:textId="77777777" w:rsidR="00863021" w:rsidRPr="00E3764B" w:rsidRDefault="00863021" w:rsidP="00863021">
      <w:pPr>
        <w:spacing w:after="0"/>
        <w:rPr>
          <w:i/>
        </w:rPr>
      </w:pPr>
    </w:p>
    <w:p w14:paraId="22432770" w14:textId="77777777" w:rsidR="00863021" w:rsidRPr="00907549" w:rsidRDefault="00863021" w:rsidP="00863021">
      <w:pPr>
        <w:spacing w:after="0"/>
        <w:rPr>
          <w:rFonts w:ascii="Georgia" w:hAnsi="Georgia"/>
          <w:b/>
          <w:i/>
          <w:sz w:val="30"/>
        </w:rPr>
      </w:pPr>
      <w:r w:rsidRPr="00907549">
        <w:rPr>
          <w:rFonts w:ascii="Georgia" w:hAnsi="Georgia"/>
          <w:b/>
          <w:i/>
          <w:sz w:val="30"/>
        </w:rPr>
        <w:t>Chapter 8—Travel</w:t>
      </w:r>
      <w:r>
        <w:rPr>
          <w:rFonts w:ascii="Georgia" w:hAnsi="Georgia"/>
          <w:b/>
          <w:i/>
          <w:sz w:val="30"/>
        </w:rPr>
        <w:t>, Meals,</w:t>
      </w:r>
      <w:r w:rsidRPr="00907549">
        <w:rPr>
          <w:rFonts w:ascii="Georgia" w:hAnsi="Georgia"/>
          <w:b/>
          <w:i/>
          <w:sz w:val="30"/>
        </w:rPr>
        <w:t xml:space="preserve"> and </w:t>
      </w:r>
      <w:r>
        <w:rPr>
          <w:rFonts w:ascii="Georgia" w:hAnsi="Georgia"/>
          <w:b/>
          <w:i/>
          <w:sz w:val="30"/>
        </w:rPr>
        <w:t>Gift</w:t>
      </w:r>
      <w:r w:rsidRPr="00907549">
        <w:rPr>
          <w:rFonts w:ascii="Georgia" w:hAnsi="Georgia"/>
          <w:b/>
          <w:i/>
          <w:sz w:val="30"/>
        </w:rPr>
        <w:t xml:space="preserve"> Expenses</w:t>
      </w:r>
    </w:p>
    <w:p w14:paraId="054CAE23" w14:textId="074F385B" w:rsidR="00863021" w:rsidRDefault="00863021" w:rsidP="00863021">
      <w:pPr>
        <w:spacing w:after="0"/>
        <w:rPr>
          <w:rFonts w:ascii="Times" w:hAnsi="Times" w:cs="Times"/>
          <w:bCs/>
        </w:rPr>
      </w:pPr>
      <w:r>
        <w:rPr>
          <w:b/>
          <w:bCs/>
          <w:i/>
          <w:iCs/>
        </w:rPr>
        <w:lastRenderedPageBreak/>
        <w:t xml:space="preserve">Business travel per diem rates. </w:t>
      </w:r>
      <w:r w:rsidRPr="00F04456">
        <w:t xml:space="preserve">The </w:t>
      </w:r>
      <w:r>
        <w:t xml:space="preserve">standard </w:t>
      </w:r>
      <w:r w:rsidRPr="00F04456">
        <w:t xml:space="preserve">federal per diem rate </w:t>
      </w:r>
      <w:r>
        <w:t xml:space="preserve">set by the General Services Administration (GSA) </w:t>
      </w:r>
      <w:r w:rsidRPr="00F04456">
        <w:t>for travel starting October 1, 20</w:t>
      </w:r>
      <w:r>
        <w:t>2</w:t>
      </w:r>
      <w:r w:rsidR="00FB7BC0">
        <w:t>3</w:t>
      </w:r>
      <w:r w:rsidRPr="00F04456">
        <w:t>, through September 30, 20</w:t>
      </w:r>
      <w:r>
        <w:t>2</w:t>
      </w:r>
      <w:r w:rsidR="00FB7BC0">
        <w:t>4</w:t>
      </w:r>
      <w:r w:rsidRPr="00F04456">
        <w:t>, covering lodging and meals and incidental expenses (M&amp;IE) within the continental United States (CONUS) in most locations is $</w:t>
      </w:r>
      <w:r w:rsidR="00FB7BC0">
        <w:t>166</w:t>
      </w:r>
      <w:r w:rsidRPr="00F04456">
        <w:t xml:space="preserve"> per day ($</w:t>
      </w:r>
      <w:r w:rsidR="00FB7BC0">
        <w:t>107</w:t>
      </w:r>
      <w:r w:rsidRPr="00F04456">
        <w:t xml:space="preserve"> for lodging and $5</w:t>
      </w:r>
      <w:r>
        <w:t>9</w:t>
      </w:r>
      <w:r w:rsidRPr="00F04456">
        <w:t xml:space="preserve"> for M&amp;IE). </w:t>
      </w:r>
      <w:r>
        <w:t xml:space="preserve">There are </w:t>
      </w:r>
      <w:r w:rsidR="00FB7BC0">
        <w:t>302</w:t>
      </w:r>
      <w:r>
        <w:t xml:space="preserve"> locations that have a </w:t>
      </w:r>
      <w:r w:rsidRPr="00F04456">
        <w:t>per diem rate</w:t>
      </w:r>
      <w:r>
        <w:t xml:space="preserve"> exceeding the standard rate for all or part of the year</w:t>
      </w:r>
      <w:r w:rsidRPr="00F04456">
        <w:t xml:space="preserve">. </w:t>
      </w:r>
      <w:r w:rsidRPr="009A25C9">
        <w:rPr>
          <w:rFonts w:ascii="Times" w:hAnsi="Times" w:cs="Times"/>
          <w:bCs/>
        </w:rPr>
        <w:t>These rates can be found</w:t>
      </w:r>
      <w:r>
        <w:rPr>
          <w:rFonts w:ascii="Times" w:hAnsi="Times" w:cs="Times"/>
          <w:bCs/>
        </w:rPr>
        <w:t xml:space="preserve"> </w:t>
      </w:r>
      <w:r w:rsidRPr="00473A8C">
        <w:rPr>
          <w:rFonts w:ascii="Times" w:hAnsi="Times" w:cs="Times"/>
          <w:bCs/>
        </w:rPr>
        <w:t xml:space="preserve">at the </w:t>
      </w:r>
      <w:hyperlink r:id="rId13" w:history="1">
        <w:r w:rsidR="00397218" w:rsidRPr="003011DE">
          <w:rPr>
            <w:rStyle w:val="Hyperlink"/>
            <w:rFonts w:ascii="Times" w:hAnsi="Times" w:cs="Times"/>
            <w:bCs/>
          </w:rPr>
          <w:t>GSA</w:t>
        </w:r>
      </w:hyperlink>
      <w:r>
        <w:rPr>
          <w:rFonts w:ascii="Times" w:hAnsi="Times" w:cs="Times"/>
          <w:bCs/>
        </w:rPr>
        <w:t>.</w:t>
      </w:r>
    </w:p>
    <w:p w14:paraId="321182D5" w14:textId="097BEEB2" w:rsidR="00863021" w:rsidRDefault="00863021" w:rsidP="00DF1BA2">
      <w:pPr>
        <w:spacing w:after="0"/>
        <w:ind w:firstLine="720"/>
      </w:pPr>
      <w:r>
        <w:rPr>
          <w:rFonts w:ascii="Times" w:hAnsi="Times" w:cs="Times"/>
        </w:rPr>
        <w:t>The high-low substantiation rates set by the IRS for areas within CONUS for the period October 1, 202</w:t>
      </w:r>
      <w:r w:rsidR="00397218">
        <w:rPr>
          <w:rFonts w:ascii="Times" w:hAnsi="Times" w:cs="Times"/>
        </w:rPr>
        <w:t>3</w:t>
      </w:r>
      <w:r>
        <w:rPr>
          <w:rFonts w:ascii="Times" w:hAnsi="Times" w:cs="Times"/>
        </w:rPr>
        <w:t>, through September 30, 202</w:t>
      </w:r>
      <w:r w:rsidR="00397218">
        <w:rPr>
          <w:rFonts w:ascii="Times" w:hAnsi="Times" w:cs="Times"/>
        </w:rPr>
        <w:t>4</w:t>
      </w:r>
      <w:r>
        <w:rPr>
          <w:rFonts w:ascii="Times" w:hAnsi="Times" w:cs="Times"/>
        </w:rPr>
        <w:t>, are $</w:t>
      </w:r>
      <w:r w:rsidR="00397218">
        <w:rPr>
          <w:rFonts w:ascii="Times" w:hAnsi="Times" w:cs="Times"/>
        </w:rPr>
        <w:t>309</w:t>
      </w:r>
      <w:r>
        <w:rPr>
          <w:rFonts w:ascii="Times" w:hAnsi="Times" w:cs="Times"/>
        </w:rPr>
        <w:t xml:space="preserve"> for travel to high-cost localities and $2</w:t>
      </w:r>
      <w:r w:rsidR="00397218">
        <w:rPr>
          <w:rFonts w:ascii="Times" w:hAnsi="Times" w:cs="Times"/>
        </w:rPr>
        <w:t>1</w:t>
      </w:r>
      <w:r>
        <w:rPr>
          <w:rFonts w:ascii="Times" w:hAnsi="Times" w:cs="Times"/>
        </w:rPr>
        <w:t xml:space="preserve">4 for travel to all other areas within CONUS. Of these rates, the meal portion is $74 for high-cost areas and $64 for all other areas within CONUS. The list of high-cost areas has been changed (see </w:t>
      </w:r>
      <w:hyperlink r:id="rId14" w:history="1">
        <w:r w:rsidR="003011DE" w:rsidRPr="004215C0">
          <w:rPr>
            <w:rStyle w:val="Hyperlink"/>
          </w:rPr>
          <w:t>Notice 2022-68</w:t>
        </w:r>
      </w:hyperlink>
      <w:r>
        <w:rPr>
          <w:rFonts w:ascii="Times" w:hAnsi="Times" w:cs="Times"/>
        </w:rPr>
        <w:t xml:space="preserve"> for details).</w:t>
      </w:r>
    </w:p>
    <w:p w14:paraId="64D4F075" w14:textId="77777777" w:rsidR="00863021" w:rsidRDefault="00863021" w:rsidP="00863021">
      <w:pPr>
        <w:spacing w:after="0"/>
        <w:rPr>
          <w:b/>
          <w:bCs/>
          <w:i/>
          <w:iCs/>
        </w:rPr>
      </w:pPr>
    </w:p>
    <w:p w14:paraId="6815CB61" w14:textId="77777777" w:rsidR="00863021" w:rsidRPr="00F04456" w:rsidRDefault="00863021" w:rsidP="00863021">
      <w:pPr>
        <w:spacing w:after="0"/>
      </w:pPr>
    </w:p>
    <w:p w14:paraId="27283FC0" w14:textId="77777777" w:rsidR="00863021" w:rsidRPr="007B52DD" w:rsidRDefault="00863021" w:rsidP="00863021">
      <w:pPr>
        <w:spacing w:after="0"/>
        <w:rPr>
          <w:rFonts w:ascii="Georgia" w:hAnsi="Georgia"/>
          <w:b/>
          <w:bCs/>
          <w:i/>
          <w:sz w:val="30"/>
          <w:szCs w:val="30"/>
        </w:rPr>
      </w:pPr>
      <w:r w:rsidRPr="007B52DD">
        <w:rPr>
          <w:rFonts w:ascii="Georgia" w:hAnsi="Georgia"/>
          <w:b/>
          <w:i/>
          <w:sz w:val="30"/>
          <w:szCs w:val="30"/>
        </w:rPr>
        <w:t>Chapter 9—Car Expenses</w:t>
      </w:r>
    </w:p>
    <w:p w14:paraId="4E2277B9" w14:textId="7E72FC75" w:rsidR="00863021" w:rsidRDefault="00863021" w:rsidP="00863021">
      <w:pPr>
        <w:spacing w:after="0"/>
      </w:pPr>
      <w:r>
        <w:rPr>
          <w:b/>
          <w:i/>
          <w:color w:val="000000"/>
        </w:rPr>
        <w:t xml:space="preserve">Section 179 deduction and bonus depreciation. </w:t>
      </w:r>
      <w:r>
        <w:t>For 202</w:t>
      </w:r>
      <w:r w:rsidR="00DF1BA2">
        <w:t>4</w:t>
      </w:r>
      <w:r>
        <w:t>, the first-year expense allowance (Section 179 deduction) applies to equipment purchases (e.g., new vehicles) up to $1,</w:t>
      </w:r>
      <w:r w:rsidR="00397218">
        <w:t>220</w:t>
      </w:r>
      <w:r>
        <w:t>,000 (up from $1,</w:t>
      </w:r>
      <w:r w:rsidR="00397218">
        <w:t>160</w:t>
      </w:r>
      <w:r>
        <w:t>,000 in 202</w:t>
      </w:r>
      <w:r w:rsidR="00397218">
        <w:t>3</w:t>
      </w:r>
      <w:r>
        <w:t>). However, this dollar limit phases out dollar for dollar when purchases of Section 179 property for the year exceed $</w:t>
      </w:r>
      <w:r w:rsidR="00397218">
        <w:t>3,050</w:t>
      </w:r>
      <w:r>
        <w:t>,000. Thus, no expensing deduction can be claimed if equipment purchases for the year are $4,</w:t>
      </w:r>
      <w:r w:rsidR="00397218">
        <w:t>27</w:t>
      </w:r>
      <w:r>
        <w:t xml:space="preserve">0,000 million or more. </w:t>
      </w:r>
    </w:p>
    <w:p w14:paraId="6419D778" w14:textId="77777777" w:rsidR="00DF1BA2" w:rsidRPr="004C1111" w:rsidRDefault="00DF1BA2" w:rsidP="00DF1BA2">
      <w:pPr>
        <w:spacing w:after="0"/>
        <w:ind w:firstLine="720"/>
      </w:pPr>
      <w:r w:rsidRPr="003011DE">
        <w:rPr>
          <w:b/>
          <w:bCs/>
          <w:i/>
          <w:iCs/>
        </w:rPr>
        <w:t xml:space="preserve">Caution: </w:t>
      </w:r>
      <w:r>
        <w:t>The Tax Relief for American Families and Workers Act of 2024 would increase the limit for 2024 to $1,290,000 and the start of the phase-out to $3,220,000 beginning in 2023, with the dollar amounts indexed for inflation for 2024 (i.e., the dollar amounts likely would be higher in 2024).</w:t>
      </w:r>
    </w:p>
    <w:p w14:paraId="1B57DF48" w14:textId="1E527FBB" w:rsidR="00863021" w:rsidRDefault="00863021" w:rsidP="00863021">
      <w:pPr>
        <w:spacing w:after="0"/>
        <w:ind w:firstLine="720"/>
        <w:rPr>
          <w:color w:val="000000"/>
        </w:rPr>
      </w:pPr>
      <w:r>
        <w:rPr>
          <w:color w:val="000000"/>
        </w:rPr>
        <w:t>Heavy SUVs are not subject to the annual dollar limits on depreciation, but the first-year expense deduction is limited to $</w:t>
      </w:r>
      <w:r w:rsidR="00984F58">
        <w:rPr>
          <w:color w:val="000000"/>
        </w:rPr>
        <w:t>30,500</w:t>
      </w:r>
      <w:r>
        <w:rPr>
          <w:color w:val="000000"/>
        </w:rPr>
        <w:t xml:space="preserve"> in 202</w:t>
      </w:r>
      <w:r w:rsidR="00DF1BA2">
        <w:rPr>
          <w:color w:val="000000"/>
        </w:rPr>
        <w:t>4</w:t>
      </w:r>
      <w:r>
        <w:rPr>
          <w:color w:val="000000"/>
        </w:rPr>
        <w:t xml:space="preserve"> (up from $</w:t>
      </w:r>
      <w:r w:rsidR="00984F58">
        <w:rPr>
          <w:color w:val="000000"/>
        </w:rPr>
        <w:t>2</w:t>
      </w:r>
      <w:r w:rsidR="00397218">
        <w:rPr>
          <w:color w:val="000000"/>
        </w:rPr>
        <w:t>8,900</w:t>
      </w:r>
      <w:r>
        <w:rPr>
          <w:color w:val="000000"/>
        </w:rPr>
        <w:t xml:space="preserve"> in 202</w:t>
      </w:r>
      <w:r w:rsidR="00397218">
        <w:rPr>
          <w:color w:val="000000"/>
        </w:rPr>
        <w:t>3</w:t>
      </w:r>
      <w:r>
        <w:rPr>
          <w:color w:val="000000"/>
        </w:rPr>
        <w:t>).</w:t>
      </w:r>
    </w:p>
    <w:p w14:paraId="151D964A" w14:textId="77777777" w:rsidR="00863021" w:rsidRDefault="00863021" w:rsidP="00863021">
      <w:pPr>
        <w:spacing w:after="0"/>
        <w:rPr>
          <w:b/>
          <w:i/>
        </w:rPr>
      </w:pPr>
    </w:p>
    <w:p w14:paraId="2B1B5326" w14:textId="2B7BAFAE" w:rsidR="00863021" w:rsidRPr="00367FC6" w:rsidRDefault="00863021" w:rsidP="00863021">
      <w:pPr>
        <w:spacing w:after="0"/>
      </w:pPr>
      <w:r w:rsidRPr="002F05C9">
        <w:rPr>
          <w:b/>
          <w:i/>
        </w:rPr>
        <w:t xml:space="preserve">Standard mileage rate. </w:t>
      </w:r>
      <w:r w:rsidRPr="00367FC6">
        <w:t>The IRS announced the standard mileage rate, used in lieu of deducting the actual costs of business driving; for 202</w:t>
      </w:r>
      <w:r w:rsidR="00DF1BA2">
        <w:t>4</w:t>
      </w:r>
      <w:r w:rsidRPr="00367FC6">
        <w:t xml:space="preserve"> it is </w:t>
      </w:r>
      <w:r w:rsidR="00984F58">
        <w:t>67</w:t>
      </w:r>
      <w:r w:rsidRPr="00367FC6">
        <w:t xml:space="preserve">¢ per mile (up from </w:t>
      </w:r>
      <w:r w:rsidR="00984F58">
        <w:t>65.5</w:t>
      </w:r>
      <w:r w:rsidRPr="00367FC6">
        <w:t xml:space="preserve">¢ per mile </w:t>
      </w:r>
      <w:r w:rsidR="00984F58">
        <w:t>for</w:t>
      </w:r>
      <w:r>
        <w:t xml:space="preserve"> 202</w:t>
      </w:r>
      <w:r w:rsidR="00984F58">
        <w:t>3</w:t>
      </w:r>
      <w:r w:rsidRPr="00367FC6">
        <w:t>).</w:t>
      </w:r>
    </w:p>
    <w:p w14:paraId="5251B078" w14:textId="438271F9" w:rsidR="00863021" w:rsidRDefault="00863021" w:rsidP="00863021">
      <w:pPr>
        <w:spacing w:after="0"/>
        <w:ind w:firstLine="720"/>
      </w:pPr>
      <w:r w:rsidRPr="00367FC6">
        <w:t>Those who own their vehicles and use the standard mileage rate for 202</w:t>
      </w:r>
      <w:r w:rsidR="00DF1BA2">
        <w:t>4</w:t>
      </w:r>
      <w:r w:rsidRPr="00367FC6">
        <w:t xml:space="preserve"> must reduce the vehicle’s basis by </w:t>
      </w:r>
      <w:r w:rsidR="00984F58">
        <w:t>30</w:t>
      </w:r>
      <w:r w:rsidRPr="00367FC6">
        <w:t>¢ per mile (</w:t>
      </w:r>
      <w:r>
        <w:t xml:space="preserve">up from </w:t>
      </w:r>
      <w:r w:rsidR="00984F58">
        <w:t>28</w:t>
      </w:r>
      <w:r w:rsidRPr="00367FC6">
        <w:t>¢).</w:t>
      </w:r>
    </w:p>
    <w:p w14:paraId="22EBD95E" w14:textId="77777777" w:rsidR="00863021" w:rsidRDefault="00863021" w:rsidP="00863021">
      <w:pPr>
        <w:spacing w:after="0"/>
        <w:ind w:firstLine="720"/>
      </w:pPr>
    </w:p>
    <w:p w14:paraId="058773EE" w14:textId="11D5411C" w:rsidR="008C2FC8" w:rsidRPr="00067FC4" w:rsidRDefault="008C2FC8" w:rsidP="008C2FC8">
      <w:pPr>
        <w:spacing w:after="0"/>
        <w:rPr>
          <w:highlight w:val="yellow"/>
        </w:rPr>
      </w:pPr>
      <w:r w:rsidRPr="00067FC4">
        <w:rPr>
          <w:b/>
          <w:bCs/>
          <w:i/>
          <w:iCs/>
          <w:highlight w:val="yellow"/>
        </w:rPr>
        <w:t xml:space="preserve">Dollar limits on depreciation. </w:t>
      </w:r>
      <w:r w:rsidRPr="00067FC4">
        <w:rPr>
          <w:highlight w:val="yellow"/>
        </w:rPr>
        <w:t>The dollar limits on the deduction for depreciation of business vehicles placed in service in 2024 is:</w:t>
      </w:r>
    </w:p>
    <w:p w14:paraId="38772B15" w14:textId="09A996E0" w:rsidR="008C2FC8" w:rsidRPr="00067FC4" w:rsidRDefault="008C2FC8" w:rsidP="008C2FC8">
      <w:pPr>
        <w:pStyle w:val="ListParagraph"/>
        <w:numPr>
          <w:ilvl w:val="0"/>
          <w:numId w:val="42"/>
        </w:numPr>
        <w:spacing w:after="0"/>
        <w:rPr>
          <w:highlight w:val="yellow"/>
        </w:rPr>
      </w:pPr>
      <w:r w:rsidRPr="00067FC4">
        <w:rPr>
          <w:highlight w:val="yellow"/>
        </w:rPr>
        <w:t>First year: $20,400 (or $12,400 if bonus depreciation is not used)</w:t>
      </w:r>
    </w:p>
    <w:p w14:paraId="4EBC9241" w14:textId="0BCE0452" w:rsidR="008C2FC8" w:rsidRPr="00067FC4" w:rsidRDefault="008C2FC8" w:rsidP="008C2FC8">
      <w:pPr>
        <w:pStyle w:val="ListParagraph"/>
        <w:numPr>
          <w:ilvl w:val="0"/>
          <w:numId w:val="42"/>
        </w:numPr>
        <w:spacing w:after="0"/>
        <w:rPr>
          <w:highlight w:val="yellow"/>
        </w:rPr>
      </w:pPr>
      <w:r w:rsidRPr="00067FC4">
        <w:rPr>
          <w:highlight w:val="yellow"/>
        </w:rPr>
        <w:t>Second year: $19,800</w:t>
      </w:r>
    </w:p>
    <w:p w14:paraId="3343A859" w14:textId="0359C4C6" w:rsidR="008C2FC8" w:rsidRPr="00067FC4" w:rsidRDefault="008C2FC8" w:rsidP="008C2FC8">
      <w:pPr>
        <w:pStyle w:val="ListParagraph"/>
        <w:numPr>
          <w:ilvl w:val="0"/>
          <w:numId w:val="42"/>
        </w:numPr>
        <w:spacing w:after="0"/>
        <w:rPr>
          <w:highlight w:val="yellow"/>
        </w:rPr>
      </w:pPr>
      <w:r w:rsidRPr="00067FC4">
        <w:rPr>
          <w:highlight w:val="yellow"/>
        </w:rPr>
        <w:t>Third year: $11,900</w:t>
      </w:r>
    </w:p>
    <w:p w14:paraId="459E24EA" w14:textId="7E1AD7AD" w:rsidR="008C2FC8" w:rsidRPr="00067FC4" w:rsidRDefault="008C2FC8" w:rsidP="008C2FC8">
      <w:pPr>
        <w:pStyle w:val="ListParagraph"/>
        <w:numPr>
          <w:ilvl w:val="0"/>
          <w:numId w:val="42"/>
        </w:numPr>
        <w:spacing w:after="0"/>
        <w:rPr>
          <w:highlight w:val="yellow"/>
        </w:rPr>
      </w:pPr>
      <w:r w:rsidRPr="00067FC4">
        <w:rPr>
          <w:highlight w:val="yellow"/>
        </w:rPr>
        <w:t xml:space="preserve">Fourth and succeeding years: </w:t>
      </w:r>
      <w:proofErr w:type="gramStart"/>
      <w:r w:rsidRPr="00067FC4">
        <w:rPr>
          <w:highlight w:val="yellow"/>
        </w:rPr>
        <w:t>$7,160</w:t>
      </w:r>
      <w:proofErr w:type="gramEnd"/>
    </w:p>
    <w:p w14:paraId="5EFB02E4" w14:textId="77777777" w:rsidR="008C2FC8" w:rsidRPr="00067FC4" w:rsidRDefault="008C2FC8" w:rsidP="008C2FC8">
      <w:pPr>
        <w:spacing w:after="0"/>
        <w:ind w:firstLine="360"/>
        <w:rPr>
          <w:highlight w:val="yellow"/>
        </w:rPr>
      </w:pPr>
      <w:r w:rsidRPr="00067FC4">
        <w:rPr>
          <w:highlight w:val="yellow"/>
        </w:rPr>
        <w:t>If business use is more than 50% but not 100%, allocate the basis of the vehicle to apply the applicable depreciation rate and then apply the dollar limit.</w:t>
      </w:r>
    </w:p>
    <w:p w14:paraId="5EAAD585" w14:textId="77777777" w:rsidR="008C2FC8" w:rsidRPr="00067FC4" w:rsidRDefault="008C2FC8" w:rsidP="008C2FC8">
      <w:pPr>
        <w:spacing w:after="0"/>
        <w:rPr>
          <w:b/>
          <w:bCs/>
          <w:i/>
          <w:iCs/>
          <w:highlight w:val="yellow"/>
        </w:rPr>
      </w:pPr>
    </w:p>
    <w:p w14:paraId="5ACE3059" w14:textId="055A4293" w:rsidR="008C2FC8" w:rsidRPr="00BF23A3" w:rsidRDefault="008C2FC8" w:rsidP="008C2FC8">
      <w:pPr>
        <w:spacing w:after="0"/>
      </w:pPr>
      <w:r w:rsidRPr="00067FC4">
        <w:rPr>
          <w:b/>
          <w:bCs/>
          <w:i/>
          <w:iCs/>
          <w:highlight w:val="yellow"/>
        </w:rPr>
        <w:t xml:space="preserve">Inclusion amounts. </w:t>
      </w:r>
      <w:r w:rsidRPr="00067FC4">
        <w:rPr>
          <w:highlight w:val="yellow"/>
        </w:rPr>
        <w:t xml:space="preserve">If the actual expense method is used to deduct the cost of business driving and the vehicle is leased, the total annual lease payment is deductible. But if the vehicle is first leased in 2023 and its value is more than $62,000, you must reduce the deduction for lease payments by an inclusion amount. The IRS announced these inclusion </w:t>
      </w:r>
      <w:r w:rsidRPr="00067FC4">
        <w:rPr>
          <w:highlight w:val="yellow"/>
        </w:rPr>
        <w:lastRenderedPageBreak/>
        <w:t>amounts in Rev. Proc. 2024-13. The inclusion amounts are very modest and do not seriously reduce the deduction for lease payments until you’re dealing with pricey vehicles valued at $100,000 and up. Inclusion amounts for vehicles first leased in 2023 are in the book and apply to vehicles with a value over $60,000. Inclusion amounts for vehicles first leased in years prior to 2023 may be found in IRS Publication 463.</w:t>
      </w:r>
    </w:p>
    <w:p w14:paraId="2F258460" w14:textId="77777777" w:rsidR="00863021" w:rsidRDefault="00863021" w:rsidP="00863021">
      <w:pPr>
        <w:spacing w:after="0"/>
        <w:rPr>
          <w:b/>
          <w:bCs/>
          <w:i/>
          <w:iCs/>
        </w:rPr>
      </w:pPr>
    </w:p>
    <w:p w14:paraId="2145D633" w14:textId="412E8A4A" w:rsidR="00984F58" w:rsidRDefault="00863021" w:rsidP="00984F58">
      <w:pPr>
        <w:spacing w:after="0"/>
      </w:pPr>
      <w:r>
        <w:rPr>
          <w:b/>
          <w:bCs/>
          <w:i/>
          <w:iCs/>
        </w:rPr>
        <w:t xml:space="preserve">Credit for clean vehicles. </w:t>
      </w:r>
      <w:r>
        <w:t xml:space="preserve">The </w:t>
      </w:r>
      <w:r w:rsidR="00984F58">
        <w:t xml:space="preserve">credit can be transferred to a dealer that has registered with the IRS for this purpose. Transferring the credit effectively lowers the purchase price. </w:t>
      </w:r>
      <w:bookmarkStart w:id="7" w:name="_Hlk157582427"/>
      <w:r w:rsidR="00984F58">
        <w:t xml:space="preserve">The IRS has made it clear that if a buyer eligible for the credit does not have sufficient taxable income to have fully used it if he or she waited to claim the credit when filing the return, there is </w:t>
      </w:r>
      <w:r w:rsidR="00A54E90">
        <w:t>no</w:t>
      </w:r>
      <w:r w:rsidR="00984F58">
        <w:t xml:space="preserve"> </w:t>
      </w:r>
      <w:proofErr w:type="spellStart"/>
      <w:r w:rsidR="00984F58">
        <w:t>clawback</w:t>
      </w:r>
      <w:proofErr w:type="spellEnd"/>
      <w:r w:rsidR="00984F58">
        <w:t>—not from the taxpayer and not from the dealer.</w:t>
      </w:r>
    </w:p>
    <w:bookmarkEnd w:id="7"/>
    <w:p w14:paraId="7E1CA742" w14:textId="77777777" w:rsidR="00863021" w:rsidRPr="009C112D" w:rsidRDefault="00863021" w:rsidP="00863021">
      <w:pPr>
        <w:spacing w:after="0"/>
        <w:ind w:firstLine="720"/>
      </w:pPr>
    </w:p>
    <w:p w14:paraId="2C499912" w14:textId="16FBE1E1" w:rsidR="00863021" w:rsidRDefault="00863021" w:rsidP="00863021">
      <w:pPr>
        <w:spacing w:after="0"/>
      </w:pPr>
      <w:r>
        <w:rPr>
          <w:b/>
          <w:bCs/>
          <w:i/>
          <w:iCs/>
        </w:rPr>
        <w:t xml:space="preserve">Credit for </w:t>
      </w:r>
      <w:proofErr w:type="gramStart"/>
      <w:r>
        <w:rPr>
          <w:b/>
          <w:bCs/>
          <w:i/>
          <w:iCs/>
        </w:rPr>
        <w:t>previously-owned</w:t>
      </w:r>
      <w:proofErr w:type="gramEnd"/>
      <w:r>
        <w:rPr>
          <w:b/>
          <w:bCs/>
          <w:i/>
          <w:iCs/>
        </w:rPr>
        <w:t xml:space="preserve"> clean vehicles. </w:t>
      </w:r>
      <w:r w:rsidR="00984F58">
        <w:t xml:space="preserve">The credit can be transferred to a dealer that has registered with the IRS for this purpose. Transferring the credit effectively lowers the purchase price. The IRS has made it clear that if a buyer eligible for the credit does not have sufficient taxable income to have fully used it if he or she waited to claim the credit when filing the return, there is </w:t>
      </w:r>
      <w:r w:rsidR="00A54E90">
        <w:t>no</w:t>
      </w:r>
      <w:r w:rsidR="00984F58">
        <w:t xml:space="preserve"> </w:t>
      </w:r>
      <w:proofErr w:type="spellStart"/>
      <w:r w:rsidR="00984F58">
        <w:t>clawback</w:t>
      </w:r>
      <w:proofErr w:type="spellEnd"/>
      <w:r w:rsidR="00984F58">
        <w:t>—not from the taxpayer and not from the dealer</w:t>
      </w:r>
      <w:r>
        <w:t xml:space="preserve">. </w:t>
      </w:r>
    </w:p>
    <w:p w14:paraId="5C8980EA" w14:textId="77777777" w:rsidR="00984F58" w:rsidRDefault="00984F58" w:rsidP="00863021">
      <w:pPr>
        <w:spacing w:after="0"/>
        <w:rPr>
          <w:b/>
          <w:bCs/>
          <w:i/>
          <w:iCs/>
        </w:rPr>
      </w:pPr>
    </w:p>
    <w:p w14:paraId="2742DCD6" w14:textId="6256F347" w:rsidR="00863021" w:rsidRDefault="00863021" w:rsidP="00984F58">
      <w:pPr>
        <w:spacing w:after="0"/>
      </w:pPr>
      <w:r>
        <w:rPr>
          <w:b/>
          <w:bCs/>
          <w:i/>
          <w:iCs/>
        </w:rPr>
        <w:t xml:space="preserve">Credit for commercial clean vehicles. </w:t>
      </w:r>
      <w:r>
        <w:t>Th</w:t>
      </w:r>
      <w:r w:rsidR="00984F58">
        <w:t xml:space="preserve">is credit is </w:t>
      </w:r>
      <w:r w:rsidR="00984F58" w:rsidRPr="00174EE3">
        <w:rPr>
          <w:i/>
          <w:iCs/>
        </w:rPr>
        <w:t>not</w:t>
      </w:r>
      <w:r w:rsidR="00984F58">
        <w:t xml:space="preserve"> transferable. </w:t>
      </w:r>
    </w:p>
    <w:p w14:paraId="65A136C9" w14:textId="6E1ECE40" w:rsidR="00565719" w:rsidRPr="00C743E1" w:rsidRDefault="00565719" w:rsidP="00984F58">
      <w:pPr>
        <w:spacing w:after="0"/>
        <w:rPr>
          <w:caps/>
        </w:rPr>
      </w:pPr>
      <w:r>
        <w:tab/>
      </w:r>
      <w:r w:rsidR="00C32E25">
        <w:t>The credit for a vehicle weighing less than 14,000 pounds is the lesser of 15% of the vehicle’s basis (or 30% if not powered by gas or diesel) or the incremental cost of the vehicle</w:t>
      </w:r>
      <w:r w:rsidR="00BA51BC">
        <w:t>, for a top credit of $7,500</w:t>
      </w:r>
      <w:r w:rsidR="00C32E25">
        <w:t xml:space="preserve">. </w:t>
      </w:r>
      <w:r>
        <w:t xml:space="preserve">For </w:t>
      </w:r>
      <w:r w:rsidR="00BA51BC">
        <w:t xml:space="preserve">vehicles placed in service in </w:t>
      </w:r>
      <w:r>
        <w:t xml:space="preserve">2024, </w:t>
      </w:r>
      <w:r w:rsidR="00174EE3">
        <w:t xml:space="preserve">the IRS says </w:t>
      </w:r>
      <w:r>
        <w:t>the incremental cost</w:t>
      </w:r>
      <w:r w:rsidR="00BA51BC">
        <w:t xml:space="preserve"> is treated as $7,500, so in effect this amount is the maximum credit</w:t>
      </w:r>
      <w:r w:rsidR="00C34462">
        <w:t>.</w:t>
      </w:r>
    </w:p>
    <w:p w14:paraId="4B1ECCF1" w14:textId="77777777" w:rsidR="00863021" w:rsidRPr="00C743E1" w:rsidRDefault="00863021" w:rsidP="00863021">
      <w:pPr>
        <w:spacing w:after="0"/>
        <w:rPr>
          <w:b/>
          <w:bCs/>
          <w:i/>
          <w:iCs/>
        </w:rPr>
      </w:pPr>
    </w:p>
    <w:p w14:paraId="77A91329" w14:textId="77777777" w:rsidR="00863021" w:rsidRPr="00395F3F" w:rsidRDefault="00863021" w:rsidP="00E01AE2">
      <w:pPr>
        <w:pStyle w:val="Heading2"/>
      </w:pPr>
      <w:r w:rsidRPr="00395F3F">
        <w:t>Chapter 10—Repairs, Maintenance, and Energy Improvements</w:t>
      </w:r>
    </w:p>
    <w:p w14:paraId="310E4320" w14:textId="095A5290" w:rsidR="00863021" w:rsidRDefault="00863021" w:rsidP="005457C8">
      <w:pPr>
        <w:spacing w:after="0"/>
      </w:pPr>
      <w:r>
        <w:rPr>
          <w:b/>
          <w:i/>
          <w:iCs/>
        </w:rPr>
        <w:t xml:space="preserve">Energy-efficient commercial buildings deduction. </w:t>
      </w:r>
      <w:bookmarkStart w:id="8" w:name="_Hlk154323521"/>
      <w:r w:rsidR="005457C8">
        <w:rPr>
          <w:bCs/>
        </w:rPr>
        <w:t>In 2024</w:t>
      </w:r>
      <w:r>
        <w:rPr>
          <w:bCs/>
        </w:rPr>
        <w:t xml:space="preserve">, the deduction is </w:t>
      </w:r>
      <w:r w:rsidR="005457C8">
        <w:t xml:space="preserve">$0.57 increased (but not above $1.13) by $0.02 for each percentage point by which the total annual energy and power costs for the buildings are certified to be reduced by a percentage greater than 25%. The applicable dollar value used to determine the increased deduction amount for property is $2.83 increased (but not above $5.65) by $0.11 for each percentage point by which the total annual energy and power costs for the building are certified to be reduced by a percentage greater than 25%. In both instances, the higher dollar limit applies when </w:t>
      </w:r>
      <w:hyperlink r:id="rId15" w:history="1">
        <w:r w:rsidR="003011DE" w:rsidRPr="003011DE">
          <w:rPr>
            <w:rStyle w:val="Hyperlink"/>
            <w:u w:val="none"/>
          </w:rPr>
          <w:t>wage and apprenticeship rules</w:t>
        </w:r>
      </w:hyperlink>
      <w:r w:rsidR="005457C8">
        <w:t xml:space="preserve"> are met.</w:t>
      </w:r>
    </w:p>
    <w:bookmarkEnd w:id="8"/>
    <w:p w14:paraId="431C606A" w14:textId="77777777" w:rsidR="005457C8" w:rsidRDefault="005457C8" w:rsidP="005457C8">
      <w:pPr>
        <w:spacing w:after="0"/>
        <w:rPr>
          <w:bCs/>
        </w:rPr>
      </w:pPr>
    </w:p>
    <w:p w14:paraId="7501DCBE" w14:textId="79508750" w:rsidR="00863021" w:rsidRPr="009359CC" w:rsidRDefault="00863021" w:rsidP="00863021">
      <w:pPr>
        <w:spacing w:after="0"/>
        <w:rPr>
          <w:bCs/>
        </w:rPr>
      </w:pPr>
      <w:proofErr w:type="gramStart"/>
      <w:r>
        <w:rPr>
          <w:b/>
          <w:i/>
          <w:iCs/>
        </w:rPr>
        <w:t>Clean vehicles,</w:t>
      </w:r>
      <w:proofErr w:type="gramEnd"/>
      <w:r>
        <w:rPr>
          <w:b/>
          <w:i/>
          <w:iCs/>
        </w:rPr>
        <w:t xml:space="preserve"> used clean vehicles, and commercial clean vehicles. </w:t>
      </w:r>
      <w:r>
        <w:rPr>
          <w:bCs/>
        </w:rPr>
        <w:t>See change</w:t>
      </w:r>
      <w:r w:rsidR="005457C8">
        <w:rPr>
          <w:bCs/>
        </w:rPr>
        <w:t>s</w:t>
      </w:r>
      <w:r>
        <w:rPr>
          <w:bCs/>
        </w:rPr>
        <w:t xml:space="preserve"> in Chapter 9.</w:t>
      </w:r>
    </w:p>
    <w:p w14:paraId="637E6513" w14:textId="77777777" w:rsidR="00863021" w:rsidRDefault="00863021" w:rsidP="00E01AE2">
      <w:pPr>
        <w:pStyle w:val="Heading2"/>
      </w:pPr>
    </w:p>
    <w:p w14:paraId="02F87414" w14:textId="77777777" w:rsidR="00863021" w:rsidRDefault="00863021" w:rsidP="00E01AE2">
      <w:pPr>
        <w:pStyle w:val="Heading2"/>
      </w:pPr>
      <w:r>
        <w:t>Chapter 13—Taxes and Interest</w:t>
      </w:r>
    </w:p>
    <w:p w14:paraId="1089E581" w14:textId="40E54C0C" w:rsidR="00863021" w:rsidRDefault="00863021" w:rsidP="00863021">
      <w:pPr>
        <w:spacing w:after="0"/>
        <w:rPr>
          <w:bCs/>
          <w:iCs/>
        </w:rPr>
      </w:pPr>
      <w:r>
        <w:rPr>
          <w:b/>
          <w:i/>
        </w:rPr>
        <w:t xml:space="preserve">State and local income taxes. </w:t>
      </w:r>
      <w:r w:rsidR="005457C8">
        <w:rPr>
          <w:bCs/>
          <w:iCs/>
        </w:rPr>
        <w:t>While there were various propos</w:t>
      </w:r>
      <w:r w:rsidR="00A54E90">
        <w:rPr>
          <w:bCs/>
          <w:iCs/>
        </w:rPr>
        <w:t>als</w:t>
      </w:r>
      <w:r w:rsidR="005457C8">
        <w:rPr>
          <w:bCs/>
          <w:iCs/>
        </w:rPr>
        <w:t xml:space="preserve"> in Congress to eliminate, raise, or otherwise alter </w:t>
      </w:r>
      <w:r>
        <w:rPr>
          <w:bCs/>
          <w:iCs/>
        </w:rPr>
        <w:t>SALT cap</w:t>
      </w:r>
      <w:r w:rsidR="005457C8">
        <w:rPr>
          <w:bCs/>
          <w:iCs/>
        </w:rPr>
        <w:t xml:space="preserve">, nothing has been enacted </w:t>
      </w:r>
      <w:proofErr w:type="gramStart"/>
      <w:r w:rsidR="005457C8">
        <w:rPr>
          <w:bCs/>
          <w:iCs/>
        </w:rPr>
        <w:t>as yet</w:t>
      </w:r>
      <w:proofErr w:type="gramEnd"/>
      <w:r>
        <w:rPr>
          <w:bCs/>
          <w:iCs/>
        </w:rPr>
        <w:t>.</w:t>
      </w:r>
      <w:r w:rsidR="00174EE3">
        <w:rPr>
          <w:bCs/>
          <w:iCs/>
        </w:rPr>
        <w:t xml:space="preserve"> Monitor developments.</w:t>
      </w:r>
    </w:p>
    <w:p w14:paraId="15364F39" w14:textId="3A01FA36" w:rsidR="00863021" w:rsidRPr="00E91B61" w:rsidRDefault="00863021" w:rsidP="00863021">
      <w:pPr>
        <w:spacing w:after="0"/>
        <w:rPr>
          <w:bCs/>
          <w:iCs/>
        </w:rPr>
      </w:pPr>
      <w:r>
        <w:rPr>
          <w:bCs/>
          <w:iCs/>
        </w:rPr>
        <w:tab/>
      </w:r>
      <w:r w:rsidR="00D82010">
        <w:rPr>
          <w:bCs/>
          <w:iCs/>
        </w:rPr>
        <w:t xml:space="preserve">Check for state </w:t>
      </w:r>
      <w:r>
        <w:rPr>
          <w:bCs/>
          <w:iCs/>
        </w:rPr>
        <w:t>Pass-Through Entity Tax (PTET) options</w:t>
      </w:r>
      <w:r w:rsidR="00174EE3">
        <w:rPr>
          <w:bCs/>
          <w:iCs/>
        </w:rPr>
        <w:t>; rules differ by location</w:t>
      </w:r>
      <w:r w:rsidR="00D82010">
        <w:rPr>
          <w:bCs/>
          <w:iCs/>
        </w:rPr>
        <w:t xml:space="preserve">. For example, Connecticut’s PTET is effective for 2024. </w:t>
      </w:r>
      <w:r>
        <w:rPr>
          <w:bCs/>
          <w:iCs/>
        </w:rPr>
        <w:t xml:space="preserve">New York’s PTET </w:t>
      </w:r>
      <w:r w:rsidR="00D82010">
        <w:rPr>
          <w:bCs/>
          <w:iCs/>
        </w:rPr>
        <w:t>election must be made on an annual basis</w:t>
      </w:r>
      <w:r>
        <w:rPr>
          <w:bCs/>
          <w:iCs/>
        </w:rPr>
        <w:t>.</w:t>
      </w:r>
    </w:p>
    <w:p w14:paraId="5F8A0184" w14:textId="77777777" w:rsidR="00863021" w:rsidRDefault="00863021" w:rsidP="00863021">
      <w:pPr>
        <w:spacing w:after="0"/>
        <w:rPr>
          <w:b/>
          <w:i/>
        </w:rPr>
      </w:pPr>
    </w:p>
    <w:p w14:paraId="4C690D8D" w14:textId="69681BC3" w:rsidR="00863021" w:rsidRDefault="00863021" w:rsidP="00863021">
      <w:pPr>
        <w:spacing w:after="0"/>
      </w:pPr>
      <w:r>
        <w:rPr>
          <w:b/>
          <w:i/>
        </w:rPr>
        <w:t xml:space="preserve">Self-employment tax. </w:t>
      </w:r>
      <w:r>
        <w:t>The Social Security wage base limit, which applies for self-employment taxes, is $</w:t>
      </w:r>
      <w:r w:rsidR="00D82010">
        <w:t>168,600</w:t>
      </w:r>
      <w:r>
        <w:t xml:space="preserve"> in 202</w:t>
      </w:r>
      <w:r w:rsidR="00D82010">
        <w:t>4</w:t>
      </w:r>
      <w:r>
        <w:t xml:space="preserve"> (up from $</w:t>
      </w:r>
      <w:r w:rsidR="00D82010">
        <w:t>160,200</w:t>
      </w:r>
      <w:r>
        <w:t xml:space="preserve"> in 202</w:t>
      </w:r>
      <w:r w:rsidR="00D82010">
        <w:t>3</w:t>
      </w:r>
      <w:r>
        <w:t xml:space="preserve">). The tax rate for the Social Security portion of self-employment tax is 12.4% on net earnings up to this dollar limit. The tax rate for the Medicare portion of self-employment tax is 2.9% on all net earnings. The tax deduction is limited to one-half of the self-employment tax. </w:t>
      </w:r>
    </w:p>
    <w:p w14:paraId="7539C9F0" w14:textId="77777777" w:rsidR="00863021" w:rsidRDefault="00863021" w:rsidP="00863021">
      <w:pPr>
        <w:spacing w:after="0"/>
        <w:ind w:firstLine="720"/>
      </w:pPr>
      <w:r>
        <w:t xml:space="preserve">For those with net earnings over the applicable threshold amount of $200,000 for singles and $250,000 for joint filers (these dollar limits are not adjusted annually for inflation), there is also a Medicare surtax of 0.9% on excess earnings. This applies only to the so-called employee portion, so it is </w:t>
      </w:r>
      <w:r>
        <w:rPr>
          <w:i/>
        </w:rPr>
        <w:t xml:space="preserve">not </w:t>
      </w:r>
      <w:r>
        <w:t>deductible.</w:t>
      </w:r>
    </w:p>
    <w:p w14:paraId="0C0E1445" w14:textId="2BC13367" w:rsidR="00256630" w:rsidRPr="00F60CED" w:rsidRDefault="00256630" w:rsidP="00863021">
      <w:pPr>
        <w:spacing w:after="0"/>
        <w:ind w:firstLine="720"/>
      </w:pPr>
      <w:r>
        <w:t xml:space="preserve">The Tax Court </w:t>
      </w:r>
      <w:r w:rsidR="00186670">
        <w:t>can use</w:t>
      </w:r>
      <w:r>
        <w:t xml:space="preserve"> a functional analysis to determine whether limited partners were exempt from self-employment tax on their distributive share</w:t>
      </w:r>
      <w:r w:rsidR="00186670">
        <w:t xml:space="preserve"> of income from the partnership’s calculation of net earnings from self-employment. The limited partner exception does not apply to partner who </w:t>
      </w:r>
      <w:r w:rsidR="003011DE">
        <w:t>is</w:t>
      </w:r>
      <w:r w:rsidR="00186670">
        <w:t xml:space="preserve"> limited in name only</w:t>
      </w:r>
      <w:r>
        <w:t xml:space="preserve">. </w:t>
      </w:r>
    </w:p>
    <w:p w14:paraId="4504F5B9" w14:textId="547BBA55" w:rsidR="00863021" w:rsidRDefault="00186670" w:rsidP="00186670">
      <w:pPr>
        <w:tabs>
          <w:tab w:val="left" w:pos="2618"/>
        </w:tabs>
        <w:spacing w:after="0"/>
        <w:rPr>
          <w:b/>
          <w:i/>
        </w:rPr>
      </w:pPr>
      <w:r>
        <w:rPr>
          <w:b/>
          <w:i/>
        </w:rPr>
        <w:tab/>
      </w:r>
    </w:p>
    <w:p w14:paraId="6A5385A8" w14:textId="446553B3" w:rsidR="00863021" w:rsidRDefault="00863021" w:rsidP="00863021">
      <w:pPr>
        <w:spacing w:after="0"/>
      </w:pPr>
      <w:r>
        <w:rPr>
          <w:b/>
          <w:i/>
        </w:rPr>
        <w:t xml:space="preserve">Employment taxes—FICA. </w:t>
      </w:r>
      <w:r>
        <w:t>The wage base limit for the Social Security portion of FICA in 202</w:t>
      </w:r>
      <w:r w:rsidR="00D82010">
        <w:t>4</w:t>
      </w:r>
      <w:r>
        <w:t xml:space="preserve"> is $</w:t>
      </w:r>
      <w:r w:rsidR="00D82010">
        <w:t>168,600</w:t>
      </w:r>
      <w:r>
        <w:t xml:space="preserve"> (up from $</w:t>
      </w:r>
      <w:r w:rsidR="00D82010">
        <w:t>160,299</w:t>
      </w:r>
      <w:r>
        <w:t xml:space="preserve"> in 202</w:t>
      </w:r>
      <w:r w:rsidR="00D82010">
        <w:t>3</w:t>
      </w:r>
      <w:r>
        <w:t>). The rate for the employee’s Social Security portion of FICA is unchanged at 6.2%.</w:t>
      </w:r>
    </w:p>
    <w:p w14:paraId="213B7ADD" w14:textId="77777777" w:rsidR="00863021" w:rsidRDefault="00863021" w:rsidP="00863021">
      <w:pPr>
        <w:spacing w:after="0"/>
        <w:rPr>
          <w:b/>
          <w:i/>
        </w:rPr>
      </w:pPr>
    </w:p>
    <w:p w14:paraId="01E53B4B" w14:textId="418DD0A5" w:rsidR="00863021" w:rsidRDefault="00863021" w:rsidP="00863021">
      <w:pPr>
        <w:spacing w:after="0"/>
      </w:pPr>
      <w:r>
        <w:rPr>
          <w:b/>
          <w:i/>
        </w:rPr>
        <w:t xml:space="preserve">Employment taxes—FUTA tax. </w:t>
      </w:r>
      <w:r>
        <w:t>For</w:t>
      </w:r>
      <w:r w:rsidRPr="00524B9C">
        <w:t xml:space="preserve"> </w:t>
      </w:r>
      <w:r>
        <w:t xml:space="preserve">purposes of </w:t>
      </w:r>
      <w:r w:rsidRPr="00524B9C">
        <w:t xml:space="preserve">FUTA </w:t>
      </w:r>
      <w:r>
        <w:t>in 202</w:t>
      </w:r>
      <w:r w:rsidR="00456D0F">
        <w:t>3</w:t>
      </w:r>
      <w:r w:rsidR="00D82010">
        <w:t xml:space="preserve"> (credit reduction states for 2024 are not announced until November 2024)</w:t>
      </w:r>
      <w:r>
        <w:t>, the following are “</w:t>
      </w:r>
      <w:r w:rsidRPr="00524B9C">
        <w:t>credit reduction states</w:t>
      </w:r>
      <w:r>
        <w:t>”:</w:t>
      </w:r>
    </w:p>
    <w:p w14:paraId="522058E7" w14:textId="77777777" w:rsidR="00863021" w:rsidRDefault="00863021" w:rsidP="00863021">
      <w:pPr>
        <w:spacing w:after="0"/>
      </w:pPr>
    </w:p>
    <w:tbl>
      <w:tblPr>
        <w:tblStyle w:val="TableGrid"/>
        <w:tblW w:w="0" w:type="auto"/>
        <w:tblLook w:val="04A0" w:firstRow="1" w:lastRow="0" w:firstColumn="1" w:lastColumn="0" w:noHBand="0" w:noVBand="1"/>
      </w:tblPr>
      <w:tblGrid>
        <w:gridCol w:w="4315"/>
        <w:gridCol w:w="4315"/>
      </w:tblGrid>
      <w:tr w:rsidR="00863021" w:rsidRPr="007E2567" w14:paraId="24649810" w14:textId="77777777" w:rsidTr="009635C1">
        <w:tc>
          <w:tcPr>
            <w:tcW w:w="4315" w:type="dxa"/>
          </w:tcPr>
          <w:p w14:paraId="3DFF79A6" w14:textId="77777777" w:rsidR="00863021" w:rsidRPr="00174EE3" w:rsidRDefault="00863021" w:rsidP="009635C1">
            <w:pPr>
              <w:spacing w:after="0"/>
              <w:rPr>
                <w:b/>
                <w:bCs/>
                <w:i/>
                <w:iCs/>
              </w:rPr>
            </w:pPr>
            <w:r w:rsidRPr="00174EE3">
              <w:rPr>
                <w:b/>
                <w:bCs/>
                <w:i/>
                <w:iCs/>
              </w:rPr>
              <w:t>State</w:t>
            </w:r>
          </w:p>
        </w:tc>
        <w:tc>
          <w:tcPr>
            <w:tcW w:w="4315" w:type="dxa"/>
          </w:tcPr>
          <w:p w14:paraId="0CEABD15" w14:textId="77777777" w:rsidR="00863021" w:rsidRPr="00174EE3" w:rsidRDefault="00863021" w:rsidP="009635C1">
            <w:pPr>
              <w:spacing w:after="0"/>
              <w:rPr>
                <w:b/>
                <w:bCs/>
                <w:i/>
                <w:iCs/>
              </w:rPr>
            </w:pPr>
            <w:r w:rsidRPr="00174EE3">
              <w:rPr>
                <w:b/>
                <w:bCs/>
                <w:i/>
                <w:iCs/>
              </w:rPr>
              <w:t>FUTA credit reduction</w:t>
            </w:r>
          </w:p>
        </w:tc>
      </w:tr>
      <w:tr w:rsidR="00863021" w14:paraId="5861A989" w14:textId="77777777" w:rsidTr="009635C1">
        <w:tc>
          <w:tcPr>
            <w:tcW w:w="4315" w:type="dxa"/>
          </w:tcPr>
          <w:p w14:paraId="422A5197" w14:textId="77777777" w:rsidR="00863021" w:rsidRDefault="00863021" w:rsidP="009635C1">
            <w:pPr>
              <w:spacing w:after="0"/>
            </w:pPr>
            <w:r>
              <w:t>California</w:t>
            </w:r>
          </w:p>
        </w:tc>
        <w:tc>
          <w:tcPr>
            <w:tcW w:w="4315" w:type="dxa"/>
          </w:tcPr>
          <w:p w14:paraId="6C88D509" w14:textId="46B8821C" w:rsidR="00863021" w:rsidRDefault="00863021" w:rsidP="009635C1">
            <w:pPr>
              <w:spacing w:after="0"/>
            </w:pPr>
            <w:r>
              <w:t>0.</w:t>
            </w:r>
            <w:r w:rsidR="007E7AE9">
              <w:t>6</w:t>
            </w:r>
            <w:r>
              <w:t>%</w:t>
            </w:r>
          </w:p>
        </w:tc>
      </w:tr>
      <w:tr w:rsidR="00863021" w14:paraId="1BD39C1E" w14:textId="77777777" w:rsidTr="009635C1">
        <w:tc>
          <w:tcPr>
            <w:tcW w:w="4315" w:type="dxa"/>
          </w:tcPr>
          <w:p w14:paraId="173DE7DE" w14:textId="77777777" w:rsidR="00863021" w:rsidRDefault="00863021" w:rsidP="009635C1">
            <w:pPr>
              <w:spacing w:after="0"/>
            </w:pPr>
            <w:r>
              <w:t>New York</w:t>
            </w:r>
          </w:p>
        </w:tc>
        <w:tc>
          <w:tcPr>
            <w:tcW w:w="4315" w:type="dxa"/>
          </w:tcPr>
          <w:p w14:paraId="3CF4F123" w14:textId="321E7273" w:rsidR="00863021" w:rsidRDefault="00863021" w:rsidP="009635C1">
            <w:pPr>
              <w:spacing w:after="0"/>
            </w:pPr>
            <w:r>
              <w:t>0.</w:t>
            </w:r>
            <w:r w:rsidR="007E7AE9">
              <w:t>6</w:t>
            </w:r>
            <w:r>
              <w:t>%</w:t>
            </w:r>
          </w:p>
        </w:tc>
      </w:tr>
    </w:tbl>
    <w:p w14:paraId="2018DA8E" w14:textId="77777777" w:rsidR="00863021" w:rsidRDefault="00863021" w:rsidP="00863021">
      <w:pPr>
        <w:spacing w:after="0"/>
      </w:pPr>
      <w:r>
        <w:t xml:space="preserve"> </w:t>
      </w:r>
    </w:p>
    <w:p w14:paraId="74854124" w14:textId="77777777" w:rsidR="00863021" w:rsidRDefault="00863021" w:rsidP="00863021">
      <w:pPr>
        <w:spacing w:after="0"/>
        <w:rPr>
          <w:b/>
          <w:i/>
        </w:rPr>
      </w:pPr>
    </w:p>
    <w:p w14:paraId="3720EDD3" w14:textId="6E4138F9" w:rsidR="00863021" w:rsidRDefault="00863021" w:rsidP="00863021">
      <w:pPr>
        <w:spacing w:after="0"/>
      </w:pPr>
      <w:r>
        <w:rPr>
          <w:b/>
          <w:i/>
        </w:rPr>
        <w:t xml:space="preserve">Interest expense payments. </w:t>
      </w:r>
      <w:r>
        <w:rPr>
          <w:bCs/>
          <w:iCs/>
        </w:rPr>
        <w:t>“</w:t>
      </w:r>
      <w:r w:rsidR="00225533">
        <w:rPr>
          <w:bCs/>
          <w:iCs/>
        </w:rPr>
        <w:t>S</w:t>
      </w:r>
      <w:r>
        <w:rPr>
          <w:bCs/>
          <w:iCs/>
        </w:rPr>
        <w:t xml:space="preserve">mall businesses” are automatically exempt from the net interest expense limit. </w:t>
      </w:r>
      <w:r w:rsidR="00225533">
        <w:rPr>
          <w:bCs/>
          <w:iCs/>
        </w:rPr>
        <w:t>For 2024, t</w:t>
      </w:r>
      <w:r>
        <w:rPr>
          <w:bCs/>
          <w:iCs/>
        </w:rPr>
        <w:t xml:space="preserve">hese are businesses </w:t>
      </w:r>
      <w:r>
        <w:t>with average annual gross receipts for the 3 prior years not exceeding $</w:t>
      </w:r>
      <w:r w:rsidR="00456D0F">
        <w:t>30</w:t>
      </w:r>
      <w:r>
        <w:t xml:space="preserve"> million (up from $2</w:t>
      </w:r>
      <w:r w:rsidR="00456D0F">
        <w:t>9</w:t>
      </w:r>
      <w:r>
        <w:t xml:space="preserve"> million in 202</w:t>
      </w:r>
      <w:r w:rsidR="00456D0F">
        <w:t>3</w:t>
      </w:r>
      <w:r>
        <w:t>).</w:t>
      </w:r>
    </w:p>
    <w:p w14:paraId="75B13064" w14:textId="16A79A84" w:rsidR="00985CE9" w:rsidRDefault="00985CE9" w:rsidP="00985CE9">
      <w:pPr>
        <w:spacing w:after="0"/>
        <w:ind w:firstLine="720"/>
      </w:pPr>
      <w:r>
        <w:rPr>
          <w:b/>
          <w:bCs/>
          <w:i/>
          <w:iCs/>
        </w:rPr>
        <w:t xml:space="preserve">Caution: </w:t>
      </w:r>
      <w:r>
        <w:t xml:space="preserve">The Tax Relief for American Families and Workers Act of 2024, if enacted, would apply the limitation without regard to any deduction allowable for depreciation, amortization, or depletion for 2024 through 2026, for businesses that do not automatically qualify as “small businesses,” or farming and real estate businesses that do not elect to be exempt from the limitation. </w:t>
      </w:r>
    </w:p>
    <w:p w14:paraId="6D6C7AD5" w14:textId="77777777" w:rsidR="00985CE9" w:rsidRDefault="00985CE9" w:rsidP="00863021">
      <w:pPr>
        <w:spacing w:after="0"/>
      </w:pPr>
    </w:p>
    <w:p w14:paraId="0550994A" w14:textId="77777777" w:rsidR="00863021" w:rsidRDefault="00863021" w:rsidP="00E01AE2">
      <w:pPr>
        <w:pStyle w:val="Heading2"/>
      </w:pPr>
    </w:p>
    <w:p w14:paraId="00155300" w14:textId="77777777" w:rsidR="00863021" w:rsidRDefault="00863021" w:rsidP="00E01AE2">
      <w:pPr>
        <w:pStyle w:val="Heading2"/>
      </w:pPr>
      <w:r>
        <w:t>Chapter 14—First-Year Expensing, Depreciation, Amortization, and Depletion</w:t>
      </w:r>
    </w:p>
    <w:p w14:paraId="46169FD8" w14:textId="77777777" w:rsidR="00FF551B" w:rsidRDefault="00863021" w:rsidP="003011DE">
      <w:pPr>
        <w:spacing w:after="0"/>
      </w:pPr>
      <w:r>
        <w:rPr>
          <w:b/>
          <w:bCs/>
          <w:i/>
          <w:iCs/>
        </w:rPr>
        <w:t xml:space="preserve">First-year expensing. </w:t>
      </w:r>
      <w:r>
        <w:t>The expensing limit for 202</w:t>
      </w:r>
      <w:r w:rsidR="00225533">
        <w:t>4</w:t>
      </w:r>
      <w:r>
        <w:t xml:space="preserve"> is $1,</w:t>
      </w:r>
      <w:r w:rsidR="003E3070">
        <w:t>220</w:t>
      </w:r>
      <w:r>
        <w:t>,000 (up from $1,</w:t>
      </w:r>
      <w:r w:rsidR="00D82010">
        <w:t>160,</w:t>
      </w:r>
      <w:r>
        <w:t>000 in 202</w:t>
      </w:r>
      <w:r w:rsidR="00225533">
        <w:t>3</w:t>
      </w:r>
      <w:r>
        <w:t>). The limit phases out when purchases for the year exceed $</w:t>
      </w:r>
      <w:r w:rsidR="003E3070">
        <w:t>3,050</w:t>
      </w:r>
      <w:r>
        <w:t xml:space="preserve">,000. Thus, no expensing can be used </w:t>
      </w:r>
      <w:r w:rsidR="00225533">
        <w:t xml:space="preserve">in 2024 </w:t>
      </w:r>
      <w:r>
        <w:t>if purchases for the year $4,</w:t>
      </w:r>
      <w:r w:rsidR="003E3070">
        <w:t>27</w:t>
      </w:r>
      <w:r>
        <w:t xml:space="preserve">0,000 million or more. </w:t>
      </w:r>
    </w:p>
    <w:p w14:paraId="527309A9" w14:textId="43343D0B" w:rsidR="003011DE" w:rsidRPr="004C1111" w:rsidRDefault="003011DE" w:rsidP="00FF551B">
      <w:pPr>
        <w:spacing w:after="0"/>
        <w:ind w:firstLine="720"/>
      </w:pPr>
      <w:r w:rsidRPr="003011DE">
        <w:rPr>
          <w:b/>
          <w:bCs/>
          <w:i/>
          <w:iCs/>
        </w:rPr>
        <w:t xml:space="preserve">Caution: </w:t>
      </w:r>
      <w:r>
        <w:t>The Tax Relief for American Families and Workers Act of 2024</w:t>
      </w:r>
      <w:r w:rsidR="00225533">
        <w:t>, if enacted,</w:t>
      </w:r>
      <w:r>
        <w:t xml:space="preserve"> would increase the limit for 2024 to $1,290,000 and the start of the phase-out to </w:t>
      </w:r>
      <w:r>
        <w:lastRenderedPageBreak/>
        <w:t>$3,220,000, with the dollar amounts indexed for inflation for 2024 (i.e., the dollar amounts likely would be higher in 2024).</w:t>
      </w:r>
    </w:p>
    <w:p w14:paraId="2594A462" w14:textId="77777777" w:rsidR="003011DE" w:rsidRDefault="003011DE" w:rsidP="00863021">
      <w:pPr>
        <w:spacing w:after="0"/>
      </w:pPr>
    </w:p>
    <w:p w14:paraId="0CED7805" w14:textId="77777777" w:rsidR="00FF551B" w:rsidRDefault="003011DE" w:rsidP="003011DE">
      <w:pPr>
        <w:spacing w:after="0"/>
      </w:pPr>
      <w:r w:rsidRPr="003011DE">
        <w:rPr>
          <w:b/>
          <w:bCs/>
          <w:i/>
        </w:rPr>
        <w:t>Bonus depreciation.</w:t>
      </w:r>
      <w:r w:rsidRPr="003011DE">
        <w:rPr>
          <w:b/>
          <w:i/>
        </w:rPr>
        <w:t xml:space="preserve"> </w:t>
      </w:r>
      <w:r w:rsidRPr="004C1111">
        <w:t>Bonus depreciation</w:t>
      </w:r>
      <w:r>
        <w:t xml:space="preserve">, which was </w:t>
      </w:r>
      <w:r w:rsidRPr="003011DE">
        <w:rPr>
          <w:bCs/>
        </w:rPr>
        <w:t>80% in 2023, declines to 60% in 2024, 40% in 2025, and 20% in 2026</w:t>
      </w:r>
      <w:r w:rsidRPr="004C1111">
        <w:t>. (There is an additional year for property with long production periods.)</w:t>
      </w:r>
      <w:r>
        <w:t xml:space="preserve"> </w:t>
      </w:r>
    </w:p>
    <w:p w14:paraId="7614FC7C" w14:textId="6CFEFAEE" w:rsidR="003011DE" w:rsidRPr="004C1111" w:rsidRDefault="003011DE" w:rsidP="00FF551B">
      <w:pPr>
        <w:spacing w:after="0"/>
        <w:ind w:firstLine="720"/>
      </w:pPr>
      <w:r w:rsidRPr="003011DE">
        <w:rPr>
          <w:b/>
          <w:bCs/>
          <w:i/>
          <w:iCs/>
        </w:rPr>
        <w:t xml:space="preserve">Caution: </w:t>
      </w:r>
      <w:r>
        <w:t>The Tax Relief for American Families and Workers Act of 2024</w:t>
      </w:r>
      <w:r w:rsidR="00225533">
        <w:t>, if enacted,</w:t>
      </w:r>
      <w:r>
        <w:t xml:space="preserve"> would allow 100% bonus depreciation for 2023 through 2025.</w:t>
      </w:r>
    </w:p>
    <w:p w14:paraId="0C451827" w14:textId="77777777" w:rsidR="00863021" w:rsidRDefault="00863021" w:rsidP="00863021">
      <w:pPr>
        <w:spacing w:after="0"/>
        <w:rPr>
          <w:b/>
          <w:i/>
        </w:rPr>
      </w:pPr>
    </w:p>
    <w:p w14:paraId="71202AFF" w14:textId="1496B642" w:rsidR="00FF551B" w:rsidRDefault="00863021" w:rsidP="00863021">
      <w:pPr>
        <w:spacing w:after="0"/>
        <w:rPr>
          <w:bCs/>
          <w:iCs/>
        </w:rPr>
      </w:pPr>
      <w:r>
        <w:rPr>
          <w:b/>
          <w:i/>
        </w:rPr>
        <w:t xml:space="preserve">Research and experimentation costs. </w:t>
      </w:r>
      <w:r w:rsidR="003011DE">
        <w:rPr>
          <w:bCs/>
          <w:iCs/>
        </w:rPr>
        <w:t xml:space="preserve">The deduction for R&amp;E costs after 2021 must be amortized over 5 years. </w:t>
      </w:r>
    </w:p>
    <w:p w14:paraId="6A1143A5" w14:textId="0D221F87" w:rsidR="00863021" w:rsidRDefault="003011DE" w:rsidP="00FF551B">
      <w:pPr>
        <w:spacing w:after="0"/>
        <w:ind w:firstLine="720"/>
        <w:rPr>
          <w:bCs/>
          <w:iCs/>
        </w:rPr>
      </w:pPr>
      <w:r>
        <w:rPr>
          <w:b/>
          <w:bCs/>
          <w:i/>
          <w:iCs/>
        </w:rPr>
        <w:t xml:space="preserve">Caution: </w:t>
      </w:r>
      <w:r>
        <w:t>The Tax Relief for American Families and Workers Act of 2024</w:t>
      </w:r>
      <w:r w:rsidR="00895740">
        <w:t>, if enacted,</w:t>
      </w:r>
      <w:r>
        <w:t xml:space="preserve"> would allow for full expensing of R&amp;E costs through 2025. If enacted and this break is applicable to you, an amended return for 2022 can be filed.</w:t>
      </w:r>
      <w:r w:rsidR="00863021">
        <w:rPr>
          <w:bCs/>
          <w:iCs/>
        </w:rPr>
        <w:t xml:space="preserve"> </w:t>
      </w:r>
    </w:p>
    <w:p w14:paraId="066169F4" w14:textId="4C56CF69" w:rsidR="00FF551B" w:rsidRPr="00A07E6D" w:rsidRDefault="00FF551B" w:rsidP="00FF551B">
      <w:pPr>
        <w:spacing w:after="0"/>
        <w:ind w:firstLine="720"/>
      </w:pPr>
      <w:r>
        <w:rPr>
          <w:b/>
          <w:i/>
        </w:rPr>
        <w:t xml:space="preserve">Scope of R&amp;E costs. </w:t>
      </w:r>
      <w:r w:rsidR="006C6F46">
        <w:rPr>
          <w:bCs/>
          <w:iCs/>
        </w:rPr>
        <w:t xml:space="preserve">A research service provider is subject to the amortization rule when it bears the financial risk on the contract or can exploit the research project without any approval. More </w:t>
      </w:r>
      <w:r>
        <w:rPr>
          <w:bCs/>
          <w:iCs/>
        </w:rPr>
        <w:t>details</w:t>
      </w:r>
      <w:r w:rsidR="006C6F46">
        <w:rPr>
          <w:bCs/>
          <w:iCs/>
        </w:rPr>
        <w:t xml:space="preserve"> are in </w:t>
      </w:r>
      <w:r>
        <w:rPr>
          <w:bCs/>
          <w:iCs/>
        </w:rPr>
        <w:t>IRS Notice 2023-63 and Notice 2024-12.</w:t>
      </w:r>
    </w:p>
    <w:p w14:paraId="335D0CCD" w14:textId="77777777" w:rsidR="00863021" w:rsidRDefault="00863021" w:rsidP="00E01AE2">
      <w:pPr>
        <w:pStyle w:val="Heading2"/>
      </w:pPr>
    </w:p>
    <w:p w14:paraId="13C0D19E" w14:textId="77777777" w:rsidR="00863021" w:rsidRDefault="00863021" w:rsidP="00E01AE2">
      <w:pPr>
        <w:pStyle w:val="Heading2"/>
      </w:pPr>
      <w:r>
        <w:t>Chapter 16—Retirement Plans</w:t>
      </w:r>
    </w:p>
    <w:p w14:paraId="5A937F86" w14:textId="6B69A988" w:rsidR="005F23AF" w:rsidRDefault="005F23AF" w:rsidP="00863021">
      <w:pPr>
        <w:spacing w:after="0"/>
        <w:rPr>
          <w:bCs/>
          <w:iCs/>
        </w:rPr>
      </w:pPr>
      <w:r>
        <w:rPr>
          <w:b/>
          <w:i/>
        </w:rPr>
        <w:t xml:space="preserve">Starter 401(k)s. </w:t>
      </w:r>
      <w:r>
        <w:rPr>
          <w:bCs/>
          <w:iCs/>
        </w:rPr>
        <w:t xml:space="preserve">Starting 2024, small businesses can adopt a starter 401(k) in which employees agree to make salary deferral contributions up to $6,000 ($7,000 for those age 50 and older by the end of 2024). There are no employer contributions. </w:t>
      </w:r>
    </w:p>
    <w:p w14:paraId="54465B64" w14:textId="2120283C" w:rsidR="005F23AF" w:rsidRDefault="005F23AF" w:rsidP="00863021">
      <w:pPr>
        <w:spacing w:after="0"/>
        <w:rPr>
          <w:bCs/>
          <w:iCs/>
        </w:rPr>
      </w:pPr>
      <w:r>
        <w:rPr>
          <w:bCs/>
          <w:iCs/>
        </w:rPr>
        <w:tab/>
        <w:t>Employers without retirement plans that had been in state-run retirement plans may use the starter 401(k) and cease transfers of employee contributions to the state plan. But check on rules in the state regarding notice for making this changeover.</w:t>
      </w:r>
    </w:p>
    <w:p w14:paraId="42EED9A0" w14:textId="77777777" w:rsidR="005F23AF" w:rsidRPr="005F23AF" w:rsidRDefault="005F23AF" w:rsidP="00863021">
      <w:pPr>
        <w:spacing w:after="0"/>
        <w:rPr>
          <w:bCs/>
          <w:iCs/>
        </w:rPr>
      </w:pPr>
    </w:p>
    <w:p w14:paraId="2FE46581" w14:textId="5D0C3A55" w:rsidR="00863021" w:rsidRDefault="00863021" w:rsidP="00863021">
      <w:pPr>
        <w:spacing w:after="0"/>
      </w:pPr>
      <w:r>
        <w:rPr>
          <w:b/>
          <w:i/>
        </w:rPr>
        <w:t xml:space="preserve">Contribution limits. </w:t>
      </w:r>
      <w:r>
        <w:t>Various limits have been increased for 20</w:t>
      </w:r>
      <w:r w:rsidR="002F3F4F">
        <w:t>24</w:t>
      </w:r>
      <w:r>
        <w:t>. The following apply to 202</w:t>
      </w:r>
      <w:r w:rsidR="002F3F4F">
        <w:t>4</w:t>
      </w:r>
      <w:r>
        <w:t xml:space="preserve"> (not to 202</w:t>
      </w:r>
      <w:r w:rsidR="002F3F4F">
        <w:t>3</w:t>
      </w:r>
      <w:r>
        <w:t xml:space="preserve"> returns):</w:t>
      </w:r>
    </w:p>
    <w:p w14:paraId="6816D7AF" w14:textId="006F5479" w:rsidR="00863021" w:rsidRPr="000135A7" w:rsidRDefault="00863021" w:rsidP="00863021">
      <w:pPr>
        <w:numPr>
          <w:ilvl w:val="0"/>
          <w:numId w:val="1"/>
        </w:numPr>
        <w:spacing w:after="0"/>
      </w:pPr>
      <w:r w:rsidRPr="000135A7">
        <w:t>401(k) plan elective deferrals: $</w:t>
      </w:r>
      <w:r w:rsidR="005E7E11">
        <w:t>23,000</w:t>
      </w:r>
      <w:r w:rsidRPr="000135A7">
        <w:t>, plus $</w:t>
      </w:r>
      <w:r>
        <w:t>7</w:t>
      </w:r>
      <w:r w:rsidRPr="000135A7">
        <w:t>,</w:t>
      </w:r>
      <w:r>
        <w:t>5</w:t>
      </w:r>
      <w:r w:rsidRPr="000135A7">
        <w:t>00 for those who are age 50 and older by December 31, 20</w:t>
      </w:r>
      <w:r>
        <w:t>2</w:t>
      </w:r>
      <w:r w:rsidR="00895740">
        <w:t>4</w:t>
      </w:r>
      <w:r>
        <w:t xml:space="preserve"> (the limits are $2</w:t>
      </w:r>
      <w:r w:rsidR="005E7E11">
        <w:t>2</w:t>
      </w:r>
      <w:r>
        <w:t>,500 and $</w:t>
      </w:r>
      <w:r w:rsidR="005E7E11">
        <w:t>6</w:t>
      </w:r>
      <w:r>
        <w:t>,500 respectively in 202</w:t>
      </w:r>
      <w:r w:rsidR="005E7E11">
        <w:t>3</w:t>
      </w:r>
      <w:r>
        <w:t>)</w:t>
      </w:r>
      <w:r w:rsidRPr="000135A7">
        <w:t xml:space="preserve">. </w:t>
      </w:r>
    </w:p>
    <w:p w14:paraId="4F5D3BE6" w14:textId="06A05E1E" w:rsidR="00863021" w:rsidRPr="000135A7" w:rsidRDefault="00863021" w:rsidP="00863021">
      <w:pPr>
        <w:numPr>
          <w:ilvl w:val="0"/>
          <w:numId w:val="1"/>
        </w:numPr>
        <w:spacing w:after="0"/>
      </w:pPr>
      <w:r w:rsidRPr="000135A7">
        <w:t>Savings incentive match plan for employees (SIMPLE) elective deferrals:</w:t>
      </w:r>
      <w:r w:rsidRPr="000135A7" w:rsidDel="00D13367">
        <w:t xml:space="preserve"> </w:t>
      </w:r>
      <w:r w:rsidRPr="000135A7">
        <w:t>$</w:t>
      </w:r>
      <w:r w:rsidR="005E7E11">
        <w:t>16,000</w:t>
      </w:r>
      <w:r w:rsidRPr="000135A7">
        <w:t>, plus $3,</w:t>
      </w:r>
      <w:r>
        <w:t>5</w:t>
      </w:r>
      <w:r w:rsidRPr="000135A7">
        <w:t>00 for those who are age 50 and older by December 31, 20</w:t>
      </w:r>
      <w:r>
        <w:t>2</w:t>
      </w:r>
      <w:r w:rsidR="005E7E11">
        <w:t>4</w:t>
      </w:r>
      <w:r>
        <w:t xml:space="preserve"> (</w:t>
      </w:r>
      <w:r w:rsidR="005E7E11">
        <w:t xml:space="preserve">the limits were </w:t>
      </w:r>
      <w:r>
        <w:t>$</w:t>
      </w:r>
      <w:r w:rsidR="005E7E11">
        <w:t>25,500</w:t>
      </w:r>
      <w:r>
        <w:t xml:space="preserve"> and $3,</w:t>
      </w:r>
      <w:r w:rsidR="005E7E11">
        <w:t>5</w:t>
      </w:r>
      <w:r>
        <w:t>00 respectively in 202</w:t>
      </w:r>
      <w:r w:rsidR="005E7E11">
        <w:t>3</w:t>
      </w:r>
      <w:r>
        <w:t>)</w:t>
      </w:r>
      <w:r w:rsidRPr="000135A7">
        <w:t>.</w:t>
      </w:r>
    </w:p>
    <w:p w14:paraId="46CFD2E7" w14:textId="511209BD" w:rsidR="00863021" w:rsidRPr="000135A7" w:rsidRDefault="00863021" w:rsidP="00863021">
      <w:pPr>
        <w:numPr>
          <w:ilvl w:val="0"/>
          <w:numId w:val="1"/>
        </w:numPr>
        <w:spacing w:after="0"/>
      </w:pPr>
      <w:r w:rsidRPr="000135A7">
        <w:t>Defined contribution plans (profit-sharing plans and simplified employee pension plans [SEPs</w:t>
      </w:r>
      <w:r w:rsidRPr="000135A7" w:rsidDel="00D13367">
        <w:t>]</w:t>
      </w:r>
      <w:r w:rsidRPr="000135A7">
        <w:t>): the limit is $</w:t>
      </w:r>
      <w:r>
        <w:t>6</w:t>
      </w:r>
      <w:r w:rsidR="005E7E11">
        <w:t>9</w:t>
      </w:r>
      <w:r w:rsidRPr="000135A7">
        <w:t>,000 (up from $</w:t>
      </w:r>
      <w:r>
        <w:t>6</w:t>
      </w:r>
      <w:r w:rsidR="005E7E11">
        <w:t>6</w:t>
      </w:r>
      <w:r w:rsidRPr="000135A7">
        <w:t>,000 in 20</w:t>
      </w:r>
      <w:r>
        <w:t>2</w:t>
      </w:r>
      <w:r w:rsidR="005E7E11">
        <w:t>3</w:t>
      </w:r>
      <w:r w:rsidRPr="000135A7">
        <w:t>).</w:t>
      </w:r>
    </w:p>
    <w:p w14:paraId="2DDAB46C" w14:textId="46F1D013" w:rsidR="00863021" w:rsidRPr="000135A7" w:rsidRDefault="00863021" w:rsidP="00863021">
      <w:pPr>
        <w:numPr>
          <w:ilvl w:val="0"/>
          <w:numId w:val="1"/>
        </w:numPr>
        <w:spacing w:after="0"/>
      </w:pPr>
      <w:r w:rsidRPr="000135A7">
        <w:t>Defined benefit (pension) plans: the limit is $2</w:t>
      </w:r>
      <w:r w:rsidR="005E7E11">
        <w:t>7</w:t>
      </w:r>
      <w:r>
        <w:t>5</w:t>
      </w:r>
      <w:r w:rsidRPr="000135A7">
        <w:t>,000 (</w:t>
      </w:r>
      <w:r>
        <w:t>up from</w:t>
      </w:r>
      <w:r w:rsidRPr="000135A7">
        <w:t xml:space="preserve"> </w:t>
      </w:r>
      <w:r>
        <w:t>$2</w:t>
      </w:r>
      <w:r w:rsidR="005E7E11">
        <w:t>6</w:t>
      </w:r>
      <w:r>
        <w:t xml:space="preserve">5,000 in </w:t>
      </w:r>
      <w:r w:rsidRPr="000135A7">
        <w:t>20</w:t>
      </w:r>
      <w:r>
        <w:t>2</w:t>
      </w:r>
      <w:r w:rsidR="005E7E11">
        <w:t>3</w:t>
      </w:r>
      <w:r w:rsidRPr="000135A7">
        <w:t>).</w:t>
      </w:r>
    </w:p>
    <w:p w14:paraId="3A48582B" w14:textId="24BEB638" w:rsidR="00863021" w:rsidRPr="000135A7" w:rsidRDefault="00863021" w:rsidP="00863021">
      <w:pPr>
        <w:numPr>
          <w:ilvl w:val="0"/>
          <w:numId w:val="1"/>
        </w:numPr>
        <w:spacing w:after="0"/>
      </w:pPr>
      <w:r w:rsidRPr="000135A7">
        <w:t xml:space="preserve">Compensation </w:t>
      </w:r>
      <w:proofErr w:type="gramStart"/>
      <w:r w:rsidRPr="000135A7">
        <w:t>taken into account</w:t>
      </w:r>
      <w:proofErr w:type="gramEnd"/>
      <w:r w:rsidRPr="000135A7">
        <w:t xml:space="preserve"> in figuring contributions and benefits: the limit is $</w:t>
      </w:r>
      <w:r>
        <w:t>3</w:t>
      </w:r>
      <w:r w:rsidR="005E7E11">
        <w:t>45</w:t>
      </w:r>
      <w:r w:rsidRPr="000135A7">
        <w:t>,000 (up from $</w:t>
      </w:r>
      <w:r>
        <w:t>3</w:t>
      </w:r>
      <w:r w:rsidR="005E7E11">
        <w:t>30</w:t>
      </w:r>
      <w:r w:rsidRPr="000135A7">
        <w:t>,000 in 20</w:t>
      </w:r>
      <w:r>
        <w:t>2</w:t>
      </w:r>
      <w:r w:rsidR="005E7E11">
        <w:t>3</w:t>
      </w:r>
      <w:r w:rsidRPr="000135A7">
        <w:t>).</w:t>
      </w:r>
    </w:p>
    <w:p w14:paraId="046B47A9" w14:textId="7B5253D2" w:rsidR="00863021" w:rsidRPr="000135A7" w:rsidRDefault="00863021" w:rsidP="00863021">
      <w:pPr>
        <w:numPr>
          <w:ilvl w:val="0"/>
          <w:numId w:val="1"/>
        </w:numPr>
        <w:spacing w:after="0"/>
      </w:pPr>
      <w:r w:rsidRPr="000135A7">
        <w:t>IRAs: the contribution limits for 20</w:t>
      </w:r>
      <w:r>
        <w:t>2</w:t>
      </w:r>
      <w:r w:rsidR="00895740">
        <w:t>4</w:t>
      </w:r>
      <w:r w:rsidRPr="000135A7">
        <w:t xml:space="preserve"> are $</w:t>
      </w:r>
      <w:r w:rsidR="00895740">
        <w:t>7,000</w:t>
      </w:r>
      <w:r>
        <w:t xml:space="preserve"> (up from $6,</w:t>
      </w:r>
      <w:r w:rsidR="005E7E11">
        <w:t>5</w:t>
      </w:r>
      <w:r>
        <w:t>00 in 202</w:t>
      </w:r>
      <w:r w:rsidR="005E7E11">
        <w:t>3</w:t>
      </w:r>
      <w:r>
        <w:t>)</w:t>
      </w:r>
      <w:r w:rsidRPr="000135A7">
        <w:t xml:space="preserve">, plus $1,000 for those age 50 or older by December 31, </w:t>
      </w:r>
      <w:r>
        <w:t>202</w:t>
      </w:r>
      <w:r w:rsidR="00565987">
        <w:t>4</w:t>
      </w:r>
      <w:r w:rsidRPr="000135A7">
        <w:t xml:space="preserve">. </w:t>
      </w:r>
      <w:r w:rsidR="00895740">
        <w:t>The</w:t>
      </w:r>
      <w:r w:rsidRPr="000135A7">
        <w:t xml:space="preserve"> adjusted gross income limits for making deductible contributions for those who are active participants in qualified retirement plans have been increased slightly.</w:t>
      </w:r>
    </w:p>
    <w:p w14:paraId="22A8D04D" w14:textId="77777777" w:rsidR="00863021" w:rsidRDefault="00863021" w:rsidP="00863021">
      <w:pPr>
        <w:spacing w:after="0"/>
        <w:rPr>
          <w:bCs/>
          <w:i/>
        </w:rPr>
      </w:pPr>
    </w:p>
    <w:p w14:paraId="70E22A89" w14:textId="61778217" w:rsidR="00F54976" w:rsidRPr="00F54976" w:rsidRDefault="00F54976" w:rsidP="00863021">
      <w:pPr>
        <w:spacing w:after="0"/>
      </w:pPr>
      <w:r>
        <w:rPr>
          <w:b/>
          <w:i/>
        </w:rPr>
        <w:lastRenderedPageBreak/>
        <w:t xml:space="preserve">Incentives to employees for their plan participation. </w:t>
      </w:r>
      <w:r>
        <w:t xml:space="preserve">An employer may offer small </w:t>
      </w:r>
      <w:r w:rsidR="00257247">
        <w:t xml:space="preserve">(de minimis) financial </w:t>
      </w:r>
      <w:r>
        <w:t xml:space="preserve">incentives </w:t>
      </w:r>
      <w:r w:rsidR="00565987">
        <w:t xml:space="preserve">to </w:t>
      </w:r>
      <w:proofErr w:type="gramStart"/>
      <w:r w:rsidR="00565987">
        <w:t>employees</w:t>
      </w:r>
      <w:proofErr w:type="gramEnd"/>
      <w:r w:rsidR="00565987">
        <w:t xml:space="preserve"> </w:t>
      </w:r>
      <w:r>
        <w:t xml:space="preserve">so they’ll make elective deferrals to the company’s qualified retirement plan. The incentives may not exceed $250 and are </w:t>
      </w:r>
      <w:r w:rsidR="003445CA">
        <w:t xml:space="preserve">usually </w:t>
      </w:r>
      <w:r>
        <w:t xml:space="preserve">treated as taxable compensation to employees. </w:t>
      </w:r>
      <w:r w:rsidR="00257247">
        <w:t>Employee matching contributions are not treated as financial incentives.</w:t>
      </w:r>
    </w:p>
    <w:p w14:paraId="5F333BE5" w14:textId="77777777" w:rsidR="00F54976" w:rsidRDefault="00F54976" w:rsidP="00863021">
      <w:pPr>
        <w:spacing w:after="0"/>
        <w:rPr>
          <w:b/>
          <w:i/>
        </w:rPr>
      </w:pPr>
    </w:p>
    <w:p w14:paraId="41F4876B" w14:textId="2F86BDFC" w:rsidR="00863021" w:rsidRDefault="00863021" w:rsidP="00863021">
      <w:pPr>
        <w:spacing w:after="0"/>
        <w:rPr>
          <w:bCs/>
          <w:iCs/>
        </w:rPr>
      </w:pPr>
      <w:r>
        <w:rPr>
          <w:b/>
          <w:i/>
        </w:rPr>
        <w:t xml:space="preserve">Distributions and plan loans. </w:t>
      </w:r>
      <w:r>
        <w:rPr>
          <w:bCs/>
          <w:iCs/>
        </w:rPr>
        <w:t xml:space="preserve">There are </w:t>
      </w:r>
      <w:proofErr w:type="gramStart"/>
      <w:r>
        <w:rPr>
          <w:bCs/>
          <w:iCs/>
        </w:rPr>
        <w:t>a number of</w:t>
      </w:r>
      <w:proofErr w:type="gramEnd"/>
      <w:r>
        <w:rPr>
          <w:bCs/>
          <w:iCs/>
        </w:rPr>
        <w:t xml:space="preserve"> changes effective in 20</w:t>
      </w:r>
      <w:r w:rsidR="005E7E11">
        <w:rPr>
          <w:bCs/>
          <w:iCs/>
        </w:rPr>
        <w:t>24</w:t>
      </w:r>
      <w:r>
        <w:rPr>
          <w:bCs/>
          <w:iCs/>
        </w:rPr>
        <w:t>:</w:t>
      </w:r>
    </w:p>
    <w:p w14:paraId="4BAA39A6" w14:textId="77777777" w:rsidR="00FC1BCB" w:rsidRPr="00FC1BCB" w:rsidRDefault="00FC1BCB" w:rsidP="00FC1BCB">
      <w:pPr>
        <w:numPr>
          <w:ilvl w:val="0"/>
          <w:numId w:val="43"/>
        </w:numPr>
        <w:spacing w:after="0"/>
        <w:rPr>
          <w:bCs/>
          <w:iCs/>
        </w:rPr>
      </w:pPr>
      <w:r w:rsidRPr="00FC1BCB">
        <w:rPr>
          <w:bCs/>
          <w:iCs/>
        </w:rPr>
        <w:t>Starter 401(k).</w:t>
      </w:r>
    </w:p>
    <w:p w14:paraId="30660A5A" w14:textId="77777777" w:rsidR="00FC1BCB" w:rsidRPr="00FC1BCB" w:rsidRDefault="00FC1BCB" w:rsidP="00FC1BCB">
      <w:pPr>
        <w:numPr>
          <w:ilvl w:val="0"/>
          <w:numId w:val="43"/>
        </w:numPr>
        <w:spacing w:after="0"/>
        <w:rPr>
          <w:bCs/>
          <w:iCs/>
        </w:rPr>
      </w:pPr>
      <w:r w:rsidRPr="00FC1BCB">
        <w:rPr>
          <w:bCs/>
          <w:iCs/>
        </w:rPr>
        <w:t>Plan can offer emergency savings accounts to non-highly compensated employees; Roth contributions up to $2,500 balance.</w:t>
      </w:r>
    </w:p>
    <w:p w14:paraId="55A7E9FF" w14:textId="77777777" w:rsidR="00FC1BCB" w:rsidRPr="00FC1BCB" w:rsidRDefault="00FC1BCB" w:rsidP="00FC1BCB">
      <w:pPr>
        <w:numPr>
          <w:ilvl w:val="0"/>
          <w:numId w:val="43"/>
        </w:numPr>
        <w:spacing w:after="0"/>
        <w:rPr>
          <w:bCs/>
          <w:iCs/>
        </w:rPr>
      </w:pPr>
      <w:r w:rsidRPr="00FC1BCB">
        <w:rPr>
          <w:bCs/>
          <w:iCs/>
        </w:rPr>
        <w:t>Personal emergency expense distribution up to $1,000 per year; no penalty; 3-year repayment period.</w:t>
      </w:r>
    </w:p>
    <w:p w14:paraId="25C8CA88" w14:textId="77777777" w:rsidR="00FC1BCB" w:rsidRPr="00FC1BCB" w:rsidRDefault="00FC1BCB" w:rsidP="00FC1BCB">
      <w:pPr>
        <w:numPr>
          <w:ilvl w:val="0"/>
          <w:numId w:val="43"/>
        </w:numPr>
        <w:spacing w:after="0"/>
        <w:rPr>
          <w:bCs/>
          <w:iCs/>
        </w:rPr>
      </w:pPr>
      <w:r w:rsidRPr="00FC1BCB">
        <w:rPr>
          <w:bCs/>
          <w:iCs/>
        </w:rPr>
        <w:t>Employer matching contributions based on student loan repayments.</w:t>
      </w:r>
    </w:p>
    <w:p w14:paraId="230E96A7" w14:textId="77777777" w:rsidR="00FC1BCB" w:rsidRPr="00FC1BCB" w:rsidRDefault="00FC1BCB" w:rsidP="00FC1BCB">
      <w:pPr>
        <w:numPr>
          <w:ilvl w:val="0"/>
          <w:numId w:val="43"/>
        </w:numPr>
        <w:spacing w:after="0"/>
        <w:rPr>
          <w:bCs/>
          <w:iCs/>
        </w:rPr>
      </w:pPr>
      <w:r w:rsidRPr="00FC1BCB">
        <w:rPr>
          <w:bCs/>
          <w:iCs/>
        </w:rPr>
        <w:t>Cash out limit for inactive participant accounts increased to $7,000.</w:t>
      </w:r>
    </w:p>
    <w:p w14:paraId="2537D9EC" w14:textId="77777777" w:rsidR="00863021" w:rsidRDefault="00863021" w:rsidP="00863021">
      <w:pPr>
        <w:spacing w:after="0"/>
        <w:rPr>
          <w:bCs/>
          <w:iCs/>
        </w:rPr>
      </w:pPr>
    </w:p>
    <w:p w14:paraId="724F426E" w14:textId="1DCBBEAC" w:rsidR="00FC1BCB" w:rsidRDefault="00FC1BCB" w:rsidP="00565987">
      <w:pPr>
        <w:spacing w:after="0"/>
        <w:ind w:firstLine="360"/>
        <w:rPr>
          <w:b/>
          <w:iCs/>
        </w:rPr>
      </w:pPr>
      <w:r w:rsidRPr="003011DE">
        <w:rPr>
          <w:b/>
          <w:i/>
        </w:rPr>
        <w:t>Note</w:t>
      </w:r>
      <w:r>
        <w:rPr>
          <w:bCs/>
          <w:iCs/>
        </w:rPr>
        <w:t>: The m</w:t>
      </w:r>
      <w:r w:rsidRPr="00FC1BCB">
        <w:rPr>
          <w:bCs/>
          <w:iCs/>
        </w:rPr>
        <w:t>andate that catch-up contributions for those earning more than $145,000 be made to a designated Roth account has been delayed until 2026 (Notice 2023-62).</w:t>
      </w:r>
    </w:p>
    <w:p w14:paraId="09CB37E3" w14:textId="77777777" w:rsidR="00FC1BCB" w:rsidRPr="00FC1BCB" w:rsidRDefault="00FC1BCB" w:rsidP="00863021">
      <w:pPr>
        <w:spacing w:after="0"/>
        <w:rPr>
          <w:b/>
          <w:iCs/>
        </w:rPr>
      </w:pPr>
    </w:p>
    <w:p w14:paraId="2EB9E778" w14:textId="55D7E559" w:rsidR="00AD07DB" w:rsidRDefault="00AD07DB" w:rsidP="00863021">
      <w:pPr>
        <w:spacing w:after="0"/>
        <w:rPr>
          <w:bCs/>
          <w:iCs/>
        </w:rPr>
      </w:pPr>
      <w:r>
        <w:rPr>
          <w:b/>
          <w:i/>
        </w:rPr>
        <w:t xml:space="preserve">EARN Act. </w:t>
      </w:r>
      <w:r>
        <w:rPr>
          <w:bCs/>
          <w:iCs/>
        </w:rPr>
        <w:t>A proposed law to enable enhanced retirement savings for sole proprietors and one-member LLCs with solo 401(k)s was not enacted. Will it be reintroduced in 2024?</w:t>
      </w:r>
    </w:p>
    <w:p w14:paraId="004438E1" w14:textId="77777777" w:rsidR="00AD07DB" w:rsidRPr="00AD07DB" w:rsidRDefault="00AD07DB" w:rsidP="00863021">
      <w:pPr>
        <w:spacing w:after="0"/>
        <w:rPr>
          <w:bCs/>
          <w:iCs/>
        </w:rPr>
      </w:pPr>
    </w:p>
    <w:p w14:paraId="2E25DC77" w14:textId="45D6D518" w:rsidR="00863021" w:rsidRPr="00766778" w:rsidRDefault="00863021" w:rsidP="002F3F4F">
      <w:pPr>
        <w:spacing w:after="0"/>
        <w:rPr>
          <w:bCs/>
          <w:iCs/>
        </w:rPr>
      </w:pPr>
      <w:r>
        <w:rPr>
          <w:b/>
          <w:i/>
        </w:rPr>
        <w:t xml:space="preserve">State-sponsored plans. </w:t>
      </w:r>
      <w:r>
        <w:rPr>
          <w:bCs/>
          <w:iCs/>
        </w:rPr>
        <w:t>New Mexico</w:t>
      </w:r>
      <w:r w:rsidR="002F3F4F">
        <w:rPr>
          <w:bCs/>
          <w:iCs/>
        </w:rPr>
        <w:t xml:space="preserve">’s plan is effective on </w:t>
      </w:r>
      <w:r>
        <w:rPr>
          <w:bCs/>
          <w:iCs/>
        </w:rPr>
        <w:t>July 1, 2024</w:t>
      </w:r>
      <w:r w:rsidR="002F3F4F">
        <w:rPr>
          <w:bCs/>
          <w:iCs/>
        </w:rPr>
        <w:t xml:space="preserve">. The effective dates for plans in </w:t>
      </w:r>
      <w:r>
        <w:rPr>
          <w:bCs/>
          <w:iCs/>
        </w:rPr>
        <w:t xml:space="preserve">New Jersey and Vermont have yet to </w:t>
      </w:r>
      <w:r w:rsidR="002F3F4F">
        <w:rPr>
          <w:bCs/>
          <w:iCs/>
        </w:rPr>
        <w:t xml:space="preserve">be </w:t>
      </w:r>
      <w:r>
        <w:rPr>
          <w:bCs/>
          <w:iCs/>
        </w:rPr>
        <w:t>announce</w:t>
      </w:r>
      <w:r w:rsidR="002F3F4F">
        <w:rPr>
          <w:bCs/>
          <w:iCs/>
        </w:rPr>
        <w:t xml:space="preserve">d. But see the information on starter 401(k)s above. </w:t>
      </w:r>
    </w:p>
    <w:p w14:paraId="7D878676" w14:textId="77777777" w:rsidR="00863021" w:rsidRDefault="00863021" w:rsidP="00863021">
      <w:pPr>
        <w:spacing w:after="0"/>
        <w:rPr>
          <w:b/>
          <w:i/>
        </w:rPr>
      </w:pPr>
    </w:p>
    <w:p w14:paraId="57D80B0F" w14:textId="6C0B2F9F" w:rsidR="00863021" w:rsidRDefault="00863021" w:rsidP="00863021">
      <w:pPr>
        <w:spacing w:after="0"/>
      </w:pPr>
      <w:r w:rsidRPr="0039715F">
        <w:rPr>
          <w:b/>
          <w:i/>
        </w:rPr>
        <w:t xml:space="preserve">PBGC premiums. </w:t>
      </w:r>
      <w:r>
        <w:t>For planning purposes, in 20</w:t>
      </w:r>
      <w:r w:rsidR="00A40E91">
        <w:t>24</w:t>
      </w:r>
      <w:r>
        <w:t xml:space="preserve"> the flat-rate premium for each participant is $</w:t>
      </w:r>
      <w:r w:rsidR="00A40E91">
        <w:t>101</w:t>
      </w:r>
      <w:r>
        <w:t xml:space="preserve"> (up from $</w:t>
      </w:r>
      <w:r w:rsidR="00A40E91">
        <w:t>96</w:t>
      </w:r>
      <w:r>
        <w:t xml:space="preserve"> in 202</w:t>
      </w:r>
      <w:r w:rsidR="00A40E91">
        <w:t>3</w:t>
      </w:r>
      <w:r>
        <w:t>). The variable rate premium for underfunded plans is $52 per $1,000 of unfunded benefits per employee (</w:t>
      </w:r>
      <w:r w:rsidR="00A40E91">
        <w:t>the same as in 2023</w:t>
      </w:r>
      <w:r>
        <w:t xml:space="preserve"> $</w:t>
      </w:r>
      <w:r w:rsidR="00A40E91">
        <w:t>52</w:t>
      </w:r>
      <w:r>
        <w:t>), with a cap of $6</w:t>
      </w:r>
      <w:r w:rsidR="00A40E91">
        <w:t>86</w:t>
      </w:r>
      <w:r>
        <w:t xml:space="preserve"> per participant (up from $</w:t>
      </w:r>
      <w:r w:rsidR="00A40E91">
        <w:t>652</w:t>
      </w:r>
      <w:r>
        <w:t>).</w:t>
      </w:r>
    </w:p>
    <w:p w14:paraId="162D35D0" w14:textId="77777777" w:rsidR="00863021" w:rsidRDefault="00863021" w:rsidP="00863021">
      <w:pPr>
        <w:spacing w:after="0"/>
        <w:rPr>
          <w:b/>
          <w:bCs/>
          <w:i/>
          <w:iCs/>
        </w:rPr>
      </w:pPr>
    </w:p>
    <w:p w14:paraId="1079F4F0" w14:textId="5EF4A0F1" w:rsidR="00863021" w:rsidRDefault="00863021" w:rsidP="00863021">
      <w:pPr>
        <w:spacing w:after="0"/>
      </w:pPr>
      <w:r>
        <w:rPr>
          <w:b/>
          <w:bCs/>
          <w:i/>
          <w:iCs/>
        </w:rPr>
        <w:t xml:space="preserve">Plan amendments. </w:t>
      </w:r>
      <w:r>
        <w:t xml:space="preserve">The IRS intends to publish a list each year of required amendments for </w:t>
      </w:r>
      <w:proofErr w:type="gramStart"/>
      <w:r>
        <w:t>individually-designed</w:t>
      </w:r>
      <w:proofErr w:type="gramEnd"/>
      <w:r>
        <w:t xml:space="preserve"> retirement plans. </w:t>
      </w:r>
      <w:r w:rsidRPr="001E0D91">
        <w:t>The list for 202</w:t>
      </w:r>
      <w:r w:rsidR="001E0D91">
        <w:t>3</w:t>
      </w:r>
      <w:r w:rsidRPr="001E0D91">
        <w:t xml:space="preserve"> includes updates to pre-approved defined benefit plans (see Notice </w:t>
      </w:r>
      <w:r w:rsidR="001E0D91">
        <w:t>2024-3</w:t>
      </w:r>
      <w:r w:rsidRPr="001E0D91">
        <w:t xml:space="preserve">). Check the </w:t>
      </w:r>
      <w:r w:rsidR="001E0D91">
        <w:t>cumulative list of required amendments (</w:t>
      </w:r>
      <w:hyperlink r:id="rId16" w:history="1">
        <w:r w:rsidR="001E0D91" w:rsidRPr="00681D8B">
          <w:rPr>
            <w:rStyle w:val="Hyperlink"/>
          </w:rPr>
          <w:t>https://www.irs.gov/pub/irs-drop/n-24-03.pdf</w:t>
        </w:r>
      </w:hyperlink>
      <w:r w:rsidR="001E0D91">
        <w:t xml:space="preserve">), which are referred to as Cycle 4. </w:t>
      </w:r>
      <w:r w:rsidRPr="001E0D91">
        <w:t xml:space="preserve">The deadline </w:t>
      </w:r>
      <w:r w:rsidR="001E0D91">
        <w:t xml:space="preserve">for Cycle 4, which began on February 1, 2023, must be submitted by January 31, 2025. </w:t>
      </w:r>
      <w:r>
        <w:t>If you use a prototype plan, which is one provided to you from the financial firm with which you maintain your plan, you will automatically receive documents reflecting plan amendments; you do not have to do anything other than retain the revised documents in your records.</w:t>
      </w:r>
    </w:p>
    <w:p w14:paraId="341D52B9" w14:textId="77777777" w:rsidR="005D7AF1" w:rsidRDefault="005D7AF1" w:rsidP="00863021">
      <w:pPr>
        <w:spacing w:after="0"/>
      </w:pPr>
    </w:p>
    <w:p w14:paraId="38C3B9DB" w14:textId="3AC1A85A" w:rsidR="005D7AF1" w:rsidRPr="005D7AF1" w:rsidRDefault="005D7AF1" w:rsidP="00863021">
      <w:pPr>
        <w:spacing w:after="0"/>
      </w:pPr>
      <w:r>
        <w:rPr>
          <w:b/>
          <w:bCs/>
          <w:i/>
          <w:iCs/>
        </w:rPr>
        <w:t xml:space="preserve">Form 5500-EZ. </w:t>
      </w:r>
      <w:r>
        <w:t xml:space="preserve">For plan years beginning in 2023 for which Form 5500-EZ must be filed in 2024 (July 31, 2024, for </w:t>
      </w:r>
      <w:r w:rsidR="00565987">
        <w:t xml:space="preserve">2023 </w:t>
      </w:r>
      <w:r>
        <w:t xml:space="preserve">calendar year plans), electronic filing is mandatory if a business files 10 or more returns in the year. However, there is an exception to e-filing if undue hardship can be shown. The procedure of seeking an undue economic hardship from the electronic filing requirement is explained in the </w:t>
      </w:r>
      <w:hyperlink r:id="rId17" w:history="1">
        <w:r w:rsidRPr="00CC4B07">
          <w:rPr>
            <w:rStyle w:val="Hyperlink"/>
          </w:rPr>
          <w:t>instructions</w:t>
        </w:r>
      </w:hyperlink>
      <w:r>
        <w:t xml:space="preserve"> to Form 5500-EZ.</w:t>
      </w:r>
    </w:p>
    <w:p w14:paraId="31B6607F" w14:textId="77777777" w:rsidR="00863021" w:rsidRDefault="00863021" w:rsidP="00E01AE2">
      <w:pPr>
        <w:pStyle w:val="Heading2"/>
      </w:pPr>
    </w:p>
    <w:p w14:paraId="3CA0C2A7" w14:textId="77777777" w:rsidR="00863021" w:rsidRDefault="00863021" w:rsidP="00E01AE2">
      <w:pPr>
        <w:pStyle w:val="Heading2"/>
      </w:pPr>
      <w:r>
        <w:t>Chapter 17—Casualty and Theft Losses</w:t>
      </w:r>
    </w:p>
    <w:p w14:paraId="7E584453" w14:textId="327895D3" w:rsidR="00863021" w:rsidRPr="00664562" w:rsidRDefault="00863021" w:rsidP="00863021">
      <w:pPr>
        <w:spacing w:after="0"/>
      </w:pPr>
      <w:r>
        <w:rPr>
          <w:b/>
          <w:i/>
        </w:rPr>
        <w:t xml:space="preserve">Disaster losses. </w:t>
      </w:r>
      <w:r>
        <w:t>Find a list of all federal disaster areas for 202</w:t>
      </w:r>
      <w:r w:rsidR="00565987">
        <w:t>3</w:t>
      </w:r>
      <w:r>
        <w:t xml:space="preserve"> from </w:t>
      </w:r>
      <w:hyperlink r:id="rId18" w:history="1">
        <w:r w:rsidRPr="006636D8">
          <w:rPr>
            <w:rStyle w:val="Hyperlink"/>
          </w:rPr>
          <w:t>FEMA</w:t>
        </w:r>
      </w:hyperlink>
      <w:r>
        <w:t>. Designated disasters in 202</w:t>
      </w:r>
      <w:r w:rsidR="00565987">
        <w:t>4</w:t>
      </w:r>
      <w:r>
        <w:t xml:space="preserve"> will also be listed by FEMA.</w:t>
      </w:r>
    </w:p>
    <w:p w14:paraId="1B42252E" w14:textId="77777777" w:rsidR="00863021" w:rsidRDefault="00863021" w:rsidP="00863021">
      <w:pPr>
        <w:spacing w:after="0"/>
        <w:rPr>
          <w:b/>
          <w:bCs/>
          <w:i/>
          <w:iCs/>
        </w:rPr>
      </w:pPr>
    </w:p>
    <w:p w14:paraId="51DBFFCD" w14:textId="1F7FF3EB" w:rsidR="00AD07DB" w:rsidRDefault="00AD07DB" w:rsidP="00E01AE2">
      <w:pPr>
        <w:pStyle w:val="Heading2"/>
      </w:pPr>
      <w:r>
        <w:t>Chapter 18—Home Office Deduction</w:t>
      </w:r>
    </w:p>
    <w:p w14:paraId="619B76AD" w14:textId="469B01F2" w:rsidR="003C05CF" w:rsidRPr="00CC7C05" w:rsidRDefault="003C05CF" w:rsidP="003C05CF">
      <w:pPr>
        <w:spacing w:after="0"/>
      </w:pPr>
      <w:r>
        <w:rPr>
          <w:b/>
          <w:bCs/>
          <w:i/>
          <w:iCs/>
        </w:rPr>
        <w:t xml:space="preserve">Simplified method. </w:t>
      </w:r>
      <w:r>
        <w:t>The IRS has not made any change to the dollar amount of the simplified method for the home office deduction. For 2023 (and for 2024 unless this changes), it is $5 per square foot up to 300 square feet for a home office (maximum deduction of $1,500).</w:t>
      </w:r>
    </w:p>
    <w:p w14:paraId="0D18721E" w14:textId="77777777" w:rsidR="003C05CF" w:rsidRDefault="003C05CF" w:rsidP="003C05CF"/>
    <w:p w14:paraId="5C521EF6" w14:textId="13BE03DC" w:rsidR="00D015FA" w:rsidRPr="00D015FA" w:rsidRDefault="00D015FA" w:rsidP="003C05CF">
      <w:r>
        <w:rPr>
          <w:b/>
          <w:bCs/>
          <w:i/>
          <w:iCs/>
        </w:rPr>
        <w:t xml:space="preserve">Hobby activity in a home office? </w:t>
      </w:r>
      <w:r>
        <w:t>The home office deduction is limited to a business, and not a hobby activity. If space is used to conduct both</w:t>
      </w:r>
      <w:r w:rsidR="006C1F8F">
        <w:t xml:space="preserve"> a</w:t>
      </w:r>
      <w:r>
        <w:t xml:space="preserve"> business and a hobby, no home office deduction can be claimed.</w:t>
      </w:r>
    </w:p>
    <w:p w14:paraId="4143673A" w14:textId="77777777" w:rsidR="00AD07DB" w:rsidRPr="00AD07DB" w:rsidRDefault="00AD07DB" w:rsidP="00AD07DB"/>
    <w:p w14:paraId="358B93DD" w14:textId="77777777" w:rsidR="00863021" w:rsidRDefault="00863021" w:rsidP="00E01AE2">
      <w:pPr>
        <w:pStyle w:val="Heading2"/>
      </w:pPr>
      <w:r>
        <w:t>Chapter 19—Medical Expenses</w:t>
      </w:r>
    </w:p>
    <w:p w14:paraId="26CAFFF6" w14:textId="313D67F6" w:rsidR="00863021" w:rsidRDefault="00863021" w:rsidP="00863021">
      <w:pPr>
        <w:spacing w:after="0"/>
        <w:rPr>
          <w:b/>
          <w:bCs/>
          <w:i/>
          <w:iCs/>
        </w:rPr>
      </w:pPr>
      <w:r>
        <w:rPr>
          <w:b/>
          <w:bCs/>
          <w:i/>
          <w:iCs/>
        </w:rPr>
        <w:t xml:space="preserve">Small employer health care credit. </w:t>
      </w:r>
      <w:r>
        <w:rPr>
          <w:bCs/>
          <w:iCs/>
        </w:rPr>
        <w:t>Small employers can take this tax credit only if average annual payroll is below a set amount. This amount has been adjusted for inflation so that the full credit applies if the average annual payroll in 202</w:t>
      </w:r>
      <w:r w:rsidR="00A8407B">
        <w:rPr>
          <w:bCs/>
          <w:iCs/>
        </w:rPr>
        <w:t>4</w:t>
      </w:r>
      <w:r>
        <w:rPr>
          <w:bCs/>
          <w:iCs/>
        </w:rPr>
        <w:t xml:space="preserve"> is $3</w:t>
      </w:r>
      <w:r w:rsidR="000614CF">
        <w:rPr>
          <w:bCs/>
          <w:iCs/>
        </w:rPr>
        <w:t>2</w:t>
      </w:r>
      <w:r>
        <w:rPr>
          <w:bCs/>
          <w:iCs/>
        </w:rPr>
        <w:t>,</w:t>
      </w:r>
      <w:r w:rsidR="000614CF">
        <w:rPr>
          <w:bCs/>
          <w:iCs/>
        </w:rPr>
        <w:t>4</w:t>
      </w:r>
      <w:r>
        <w:rPr>
          <w:bCs/>
          <w:iCs/>
        </w:rPr>
        <w:t>00 (up from $</w:t>
      </w:r>
      <w:r w:rsidR="00CE1C3B">
        <w:rPr>
          <w:bCs/>
          <w:iCs/>
        </w:rPr>
        <w:t>30,700</w:t>
      </w:r>
      <w:r>
        <w:rPr>
          <w:bCs/>
          <w:iCs/>
        </w:rPr>
        <w:t xml:space="preserve"> in 202</w:t>
      </w:r>
      <w:r w:rsidR="00CE1C3B">
        <w:rPr>
          <w:bCs/>
          <w:iCs/>
        </w:rPr>
        <w:t>3</w:t>
      </w:r>
      <w:r>
        <w:rPr>
          <w:bCs/>
          <w:iCs/>
        </w:rPr>
        <w:t xml:space="preserve">). </w:t>
      </w:r>
    </w:p>
    <w:p w14:paraId="54CA4CA5" w14:textId="77777777" w:rsidR="00863021" w:rsidRDefault="00863021" w:rsidP="00863021">
      <w:pPr>
        <w:spacing w:after="0"/>
        <w:rPr>
          <w:b/>
          <w:bCs/>
          <w:i/>
          <w:iCs/>
        </w:rPr>
      </w:pPr>
    </w:p>
    <w:p w14:paraId="6FEB2C55" w14:textId="35249634" w:rsidR="00863021" w:rsidRDefault="00863021" w:rsidP="00863021">
      <w:pPr>
        <w:spacing w:after="0"/>
      </w:pPr>
      <w:r>
        <w:rPr>
          <w:b/>
          <w:bCs/>
          <w:i/>
          <w:iCs/>
        </w:rPr>
        <w:t xml:space="preserve">Qualified small employer health reimbursement arrangements (QSEHRAs). </w:t>
      </w:r>
      <w:r>
        <w:t>These reimbursement plans are a way for small employers to help employees pay for the cost of health coverage. For 202</w:t>
      </w:r>
      <w:r w:rsidR="00A8407B">
        <w:t>4</w:t>
      </w:r>
      <w:r>
        <w:t>, reimbursements to employees are capped at $</w:t>
      </w:r>
      <w:r w:rsidR="000614CF">
        <w:t>6,150</w:t>
      </w:r>
      <w:r>
        <w:t xml:space="preserve"> for self-only coverage and $</w:t>
      </w:r>
      <w:r w:rsidR="000614CF">
        <w:t>12,450</w:t>
      </w:r>
      <w:r>
        <w:t xml:space="preserve"> for family coverage (up from $5,</w:t>
      </w:r>
      <w:r w:rsidR="000614CF">
        <w:t>8</w:t>
      </w:r>
      <w:r>
        <w:t>50 and $11,</w:t>
      </w:r>
      <w:r w:rsidR="000614CF">
        <w:t>80</w:t>
      </w:r>
      <w:r>
        <w:t>0, respectively, in 202</w:t>
      </w:r>
      <w:r w:rsidR="000614CF">
        <w:t>3</w:t>
      </w:r>
      <w:r>
        <w:t>).</w:t>
      </w:r>
    </w:p>
    <w:p w14:paraId="2C10A347" w14:textId="77777777" w:rsidR="00863021" w:rsidRDefault="00863021" w:rsidP="00863021">
      <w:pPr>
        <w:spacing w:after="0"/>
        <w:rPr>
          <w:b/>
          <w:bCs/>
          <w:i/>
          <w:iCs/>
        </w:rPr>
      </w:pPr>
    </w:p>
    <w:p w14:paraId="6D3B012D" w14:textId="6191E990" w:rsidR="00863021" w:rsidRDefault="00863021" w:rsidP="000614CF">
      <w:pPr>
        <w:spacing w:after="0"/>
        <w:rPr>
          <w:bCs/>
          <w:iCs/>
        </w:rPr>
      </w:pPr>
      <w:r>
        <w:rPr>
          <w:b/>
          <w:bCs/>
          <w:i/>
          <w:iCs/>
        </w:rPr>
        <w:t xml:space="preserve">Health savings accounts. </w:t>
      </w:r>
      <w:r>
        <w:rPr>
          <w:bCs/>
          <w:iCs/>
        </w:rPr>
        <w:t>The contribution limit for 202</w:t>
      </w:r>
      <w:r w:rsidR="000614CF">
        <w:rPr>
          <w:bCs/>
          <w:iCs/>
        </w:rPr>
        <w:t>4</w:t>
      </w:r>
      <w:r>
        <w:rPr>
          <w:bCs/>
          <w:iCs/>
        </w:rPr>
        <w:t xml:space="preserve"> increases to $</w:t>
      </w:r>
      <w:r w:rsidR="00B538E5">
        <w:rPr>
          <w:bCs/>
          <w:iCs/>
        </w:rPr>
        <w:t>4,150</w:t>
      </w:r>
      <w:r>
        <w:rPr>
          <w:bCs/>
          <w:iCs/>
        </w:rPr>
        <w:t xml:space="preserve"> for self-only coverage; the limit for family coverage increases to $</w:t>
      </w:r>
      <w:r w:rsidR="00B538E5">
        <w:rPr>
          <w:bCs/>
          <w:iCs/>
        </w:rPr>
        <w:t>8,300</w:t>
      </w:r>
      <w:r>
        <w:rPr>
          <w:bCs/>
          <w:iCs/>
        </w:rPr>
        <w:t xml:space="preserve"> (up from $3,</w:t>
      </w:r>
      <w:r w:rsidR="000614CF">
        <w:rPr>
          <w:bCs/>
          <w:iCs/>
        </w:rPr>
        <w:t>8</w:t>
      </w:r>
      <w:r>
        <w:rPr>
          <w:bCs/>
          <w:iCs/>
        </w:rPr>
        <w:t>50 and $7,</w:t>
      </w:r>
      <w:r w:rsidR="000614CF">
        <w:rPr>
          <w:bCs/>
          <w:iCs/>
        </w:rPr>
        <w:t>75</w:t>
      </w:r>
      <w:r>
        <w:rPr>
          <w:bCs/>
          <w:iCs/>
        </w:rPr>
        <w:t>0, respectively, in 202</w:t>
      </w:r>
      <w:r w:rsidR="000614CF">
        <w:rPr>
          <w:bCs/>
          <w:iCs/>
        </w:rPr>
        <w:t>3</w:t>
      </w:r>
      <w:r>
        <w:rPr>
          <w:bCs/>
          <w:iCs/>
        </w:rPr>
        <w:t>). Those who are age 55 or older by the end of 202</w:t>
      </w:r>
      <w:r w:rsidR="000614CF">
        <w:rPr>
          <w:bCs/>
          <w:iCs/>
        </w:rPr>
        <w:t>4</w:t>
      </w:r>
      <w:r>
        <w:rPr>
          <w:bCs/>
          <w:iCs/>
        </w:rPr>
        <w:t xml:space="preserve"> </w:t>
      </w:r>
      <w:r w:rsidR="00C13755">
        <w:rPr>
          <w:bCs/>
          <w:iCs/>
        </w:rPr>
        <w:t>and</w:t>
      </w:r>
      <w:r>
        <w:rPr>
          <w:bCs/>
          <w:iCs/>
        </w:rPr>
        <w:t xml:space="preserve"> not on Medicare can add another $1,000 for the year (this additional contribution limit is unchanged and married persons must have separate accounts to each use the additional limit).</w:t>
      </w:r>
    </w:p>
    <w:p w14:paraId="0BA91602" w14:textId="0C16440A" w:rsidR="00863021" w:rsidRDefault="00863021" w:rsidP="00863021">
      <w:pPr>
        <w:spacing w:after="0"/>
        <w:ind w:firstLine="720"/>
        <w:rPr>
          <w:bCs/>
          <w:iCs/>
        </w:rPr>
      </w:pPr>
      <w:r>
        <w:rPr>
          <w:bCs/>
          <w:iCs/>
        </w:rPr>
        <w:t>To contribute to a health savings account, the person must be covered by a high-deductible health plan. For 202</w:t>
      </w:r>
      <w:r w:rsidR="000614CF">
        <w:rPr>
          <w:bCs/>
          <w:iCs/>
        </w:rPr>
        <w:t>4</w:t>
      </w:r>
      <w:r>
        <w:rPr>
          <w:bCs/>
          <w:iCs/>
        </w:rPr>
        <w:t>, this means that the plan has a minimum deductible of $1,</w:t>
      </w:r>
      <w:r w:rsidR="00B538E5">
        <w:rPr>
          <w:bCs/>
          <w:iCs/>
        </w:rPr>
        <w:t>6</w:t>
      </w:r>
      <w:r>
        <w:rPr>
          <w:bCs/>
          <w:iCs/>
        </w:rPr>
        <w:t>00 for self-only coverage and $3,</w:t>
      </w:r>
      <w:r w:rsidR="00B538E5">
        <w:rPr>
          <w:bCs/>
          <w:iCs/>
        </w:rPr>
        <w:t>2</w:t>
      </w:r>
      <w:r>
        <w:rPr>
          <w:bCs/>
          <w:iCs/>
        </w:rPr>
        <w:t>0</w:t>
      </w:r>
      <w:r w:rsidR="000614CF">
        <w:rPr>
          <w:bCs/>
          <w:iCs/>
        </w:rPr>
        <w:t>0</w:t>
      </w:r>
      <w:r>
        <w:rPr>
          <w:bCs/>
          <w:iCs/>
        </w:rPr>
        <w:t xml:space="preserve"> for family coverage. The cap on annual out-of-pocket expenses (deductibles, co-payments, and other amounts but not premiums) cannot exceed $</w:t>
      </w:r>
      <w:r w:rsidR="00B538E5">
        <w:rPr>
          <w:bCs/>
          <w:iCs/>
        </w:rPr>
        <w:t>8,050</w:t>
      </w:r>
      <w:r>
        <w:rPr>
          <w:bCs/>
          <w:iCs/>
        </w:rPr>
        <w:t xml:space="preserve"> for self-only coverage and $</w:t>
      </w:r>
      <w:r w:rsidR="00B538E5">
        <w:rPr>
          <w:bCs/>
          <w:iCs/>
        </w:rPr>
        <w:t>16,100</w:t>
      </w:r>
      <w:r>
        <w:rPr>
          <w:bCs/>
          <w:iCs/>
        </w:rPr>
        <w:t xml:space="preserve"> for family coverage. </w:t>
      </w:r>
    </w:p>
    <w:p w14:paraId="70BE0B89" w14:textId="77777777" w:rsidR="00863021" w:rsidRDefault="00863021" w:rsidP="00863021">
      <w:pPr>
        <w:spacing w:after="0"/>
        <w:rPr>
          <w:b/>
          <w:bCs/>
          <w:i/>
          <w:iCs/>
        </w:rPr>
      </w:pPr>
    </w:p>
    <w:p w14:paraId="45CD8B8B" w14:textId="07CA5A40" w:rsidR="00863021" w:rsidRDefault="00863021" w:rsidP="00863021">
      <w:pPr>
        <w:spacing w:after="0"/>
        <w:rPr>
          <w:bCs/>
          <w:iCs/>
        </w:rPr>
      </w:pPr>
      <w:r>
        <w:rPr>
          <w:b/>
          <w:bCs/>
          <w:i/>
          <w:iCs/>
        </w:rPr>
        <w:t xml:space="preserve">Flexible spending arrangements (FSAs). </w:t>
      </w:r>
      <w:r>
        <w:rPr>
          <w:bCs/>
          <w:iCs/>
        </w:rPr>
        <w:t>The maximum amount that employees can add to a medical FSA in 202</w:t>
      </w:r>
      <w:r w:rsidR="000614CF">
        <w:rPr>
          <w:bCs/>
          <w:iCs/>
        </w:rPr>
        <w:t>4</w:t>
      </w:r>
      <w:r>
        <w:rPr>
          <w:bCs/>
          <w:iCs/>
        </w:rPr>
        <w:t xml:space="preserve"> is </w:t>
      </w:r>
      <w:r w:rsidRPr="00FC40AE">
        <w:rPr>
          <w:bCs/>
          <w:iCs/>
        </w:rPr>
        <w:t>$</w:t>
      </w:r>
      <w:r>
        <w:rPr>
          <w:bCs/>
          <w:iCs/>
        </w:rPr>
        <w:t>3,</w:t>
      </w:r>
      <w:r w:rsidR="000614CF">
        <w:rPr>
          <w:bCs/>
          <w:iCs/>
        </w:rPr>
        <w:t>20</w:t>
      </w:r>
      <w:r>
        <w:rPr>
          <w:bCs/>
          <w:iCs/>
        </w:rPr>
        <w:t>0</w:t>
      </w:r>
      <w:r w:rsidRPr="00FC40AE">
        <w:rPr>
          <w:bCs/>
          <w:iCs/>
        </w:rPr>
        <w:t xml:space="preserve"> (</w:t>
      </w:r>
      <w:r>
        <w:rPr>
          <w:bCs/>
          <w:iCs/>
        </w:rPr>
        <w:t>up from $</w:t>
      </w:r>
      <w:r w:rsidR="000614CF">
        <w:rPr>
          <w:bCs/>
          <w:iCs/>
        </w:rPr>
        <w:t>3,050</w:t>
      </w:r>
      <w:r>
        <w:rPr>
          <w:bCs/>
          <w:iCs/>
        </w:rPr>
        <w:t xml:space="preserve"> in 202</w:t>
      </w:r>
      <w:r w:rsidR="000614CF">
        <w:rPr>
          <w:bCs/>
          <w:iCs/>
        </w:rPr>
        <w:t>3</w:t>
      </w:r>
      <w:r>
        <w:rPr>
          <w:bCs/>
          <w:iCs/>
        </w:rPr>
        <w:t xml:space="preserve">). </w:t>
      </w:r>
      <w:r w:rsidR="000614CF">
        <w:rPr>
          <w:bCs/>
          <w:iCs/>
        </w:rPr>
        <w:t>The carryover from 2024 to 2025 is limited to $640 (up from $610 in 2023).</w:t>
      </w:r>
    </w:p>
    <w:p w14:paraId="796F283D" w14:textId="77777777" w:rsidR="00863021" w:rsidRDefault="00863021" w:rsidP="00863021">
      <w:pPr>
        <w:spacing w:after="0"/>
        <w:rPr>
          <w:b/>
          <w:bCs/>
          <w:i/>
          <w:iCs/>
        </w:rPr>
      </w:pPr>
    </w:p>
    <w:p w14:paraId="386796B6" w14:textId="77777777" w:rsidR="00863021" w:rsidRDefault="00863021" w:rsidP="00E01AE2">
      <w:pPr>
        <w:pStyle w:val="Heading2"/>
      </w:pPr>
      <w:r>
        <w:lastRenderedPageBreak/>
        <w:t>Chapter 20—Deductions for Farmers</w:t>
      </w:r>
    </w:p>
    <w:p w14:paraId="790D82FB" w14:textId="77777777" w:rsidR="00863021" w:rsidRDefault="00863021" w:rsidP="00863021">
      <w:pPr>
        <w:spacing w:after="0"/>
        <w:rPr>
          <w:bCs/>
          <w:iCs/>
        </w:rPr>
      </w:pPr>
      <w:r>
        <w:rPr>
          <w:b/>
          <w:i/>
        </w:rPr>
        <w:t xml:space="preserve">Cannabis businesses. </w:t>
      </w:r>
      <w:r>
        <w:rPr>
          <w:bCs/>
          <w:iCs/>
        </w:rPr>
        <w:t>Federal law has not changed the treatment of cannabis businesses for tax purposes. This is so even though more states have legalized the use of pot for medical and/or recreational purposes.</w:t>
      </w:r>
    </w:p>
    <w:p w14:paraId="1666C03C" w14:textId="77777777" w:rsidR="00863021" w:rsidRPr="007C5F4D" w:rsidRDefault="00863021" w:rsidP="00863021">
      <w:pPr>
        <w:spacing w:after="0"/>
        <w:rPr>
          <w:bCs/>
          <w:iCs/>
        </w:rPr>
      </w:pPr>
    </w:p>
    <w:p w14:paraId="2A7DCDD0" w14:textId="77777777" w:rsidR="00863021" w:rsidRDefault="00863021" w:rsidP="00E01AE2">
      <w:pPr>
        <w:pStyle w:val="Heading2"/>
      </w:pPr>
    </w:p>
    <w:p w14:paraId="374D66A6" w14:textId="77777777" w:rsidR="00863021" w:rsidRDefault="00863021" w:rsidP="00E01AE2">
      <w:pPr>
        <w:pStyle w:val="Heading2"/>
      </w:pPr>
      <w:r>
        <w:t>Chapter 21—Qualified Business Income Deduction</w:t>
      </w:r>
    </w:p>
    <w:p w14:paraId="2F67D016" w14:textId="5693088F" w:rsidR="00863021" w:rsidRPr="005547F0" w:rsidRDefault="00863021" w:rsidP="00863021">
      <w:pPr>
        <w:spacing w:after="0"/>
      </w:pPr>
      <w:r>
        <w:rPr>
          <w:b/>
          <w:bCs/>
          <w:i/>
          <w:iCs/>
        </w:rPr>
        <w:t xml:space="preserve">Taxable income. </w:t>
      </w:r>
      <w:r>
        <w:t xml:space="preserve">Just to be clear, taxable income means taxable income figured the usual way </w:t>
      </w:r>
      <w:r w:rsidR="00C13755">
        <w:t xml:space="preserve">on Form 1040 or 1040-SR </w:t>
      </w:r>
      <w:r>
        <w:t>reduced by net capital gains.</w:t>
      </w:r>
    </w:p>
    <w:p w14:paraId="3CA6B768" w14:textId="7008DC48" w:rsidR="00863021" w:rsidRDefault="00863021" w:rsidP="00863021">
      <w:pPr>
        <w:spacing w:after="0"/>
        <w:ind w:firstLine="720"/>
      </w:pPr>
      <w:r>
        <w:rPr>
          <w:b/>
          <w:bCs/>
          <w:i/>
          <w:iCs/>
        </w:rPr>
        <w:t>Taxable income threshold for 202</w:t>
      </w:r>
      <w:r w:rsidR="00D85477">
        <w:rPr>
          <w:b/>
          <w:bCs/>
          <w:i/>
          <w:iCs/>
        </w:rPr>
        <w:t>4</w:t>
      </w:r>
      <w:r>
        <w:rPr>
          <w:b/>
          <w:bCs/>
          <w:i/>
          <w:iCs/>
        </w:rPr>
        <w:t xml:space="preserve">. </w:t>
      </w:r>
      <w:bookmarkStart w:id="9" w:name="_Hlk28508573"/>
      <w:r>
        <w:t>The taxable income thresholds for the QBI deduction are:</w:t>
      </w:r>
    </w:p>
    <w:p w14:paraId="62D6DB55" w14:textId="77777777" w:rsidR="00863021" w:rsidRDefault="00863021" w:rsidP="00863021">
      <w:pPr>
        <w:spacing w:after="0"/>
      </w:pPr>
    </w:p>
    <w:tbl>
      <w:tblPr>
        <w:tblStyle w:val="TableGrid"/>
        <w:tblW w:w="0" w:type="auto"/>
        <w:tblLook w:val="04A0" w:firstRow="1" w:lastRow="0" w:firstColumn="1" w:lastColumn="0" w:noHBand="0" w:noVBand="1"/>
      </w:tblPr>
      <w:tblGrid>
        <w:gridCol w:w="2876"/>
        <w:gridCol w:w="2877"/>
        <w:gridCol w:w="2877"/>
      </w:tblGrid>
      <w:tr w:rsidR="00863021" w:rsidRPr="00DA412B" w14:paraId="0D64343C" w14:textId="77777777" w:rsidTr="009635C1">
        <w:tc>
          <w:tcPr>
            <w:tcW w:w="2876" w:type="dxa"/>
          </w:tcPr>
          <w:bookmarkEnd w:id="9"/>
          <w:p w14:paraId="67A941D0" w14:textId="77777777" w:rsidR="00863021" w:rsidRPr="00DA412B" w:rsidRDefault="00863021" w:rsidP="009635C1">
            <w:pPr>
              <w:spacing w:after="0"/>
              <w:rPr>
                <w:b/>
                <w:bCs/>
                <w:i/>
                <w:iCs/>
                <w:sz w:val="24"/>
                <w:szCs w:val="24"/>
              </w:rPr>
            </w:pPr>
            <w:r w:rsidRPr="00DA412B">
              <w:rPr>
                <w:b/>
                <w:bCs/>
                <w:i/>
                <w:iCs/>
                <w:sz w:val="24"/>
                <w:szCs w:val="24"/>
              </w:rPr>
              <w:t>Filing status</w:t>
            </w:r>
          </w:p>
        </w:tc>
        <w:tc>
          <w:tcPr>
            <w:tcW w:w="2877" w:type="dxa"/>
          </w:tcPr>
          <w:p w14:paraId="634EC504" w14:textId="77777777" w:rsidR="00863021" w:rsidRPr="00DA412B" w:rsidRDefault="00863021" w:rsidP="009635C1">
            <w:pPr>
              <w:spacing w:after="0"/>
              <w:rPr>
                <w:b/>
                <w:bCs/>
                <w:i/>
                <w:iCs/>
                <w:sz w:val="24"/>
                <w:szCs w:val="24"/>
              </w:rPr>
            </w:pPr>
            <w:r w:rsidRPr="00DA412B">
              <w:rPr>
                <w:b/>
                <w:bCs/>
                <w:i/>
                <w:iCs/>
                <w:sz w:val="24"/>
                <w:szCs w:val="24"/>
              </w:rPr>
              <w:t>Threshold amount</w:t>
            </w:r>
          </w:p>
        </w:tc>
        <w:tc>
          <w:tcPr>
            <w:tcW w:w="2877" w:type="dxa"/>
          </w:tcPr>
          <w:p w14:paraId="5FE91F57" w14:textId="77777777" w:rsidR="00863021" w:rsidRPr="00DA412B" w:rsidRDefault="00863021" w:rsidP="009635C1">
            <w:pPr>
              <w:spacing w:after="0"/>
              <w:rPr>
                <w:b/>
                <w:bCs/>
                <w:i/>
                <w:iCs/>
                <w:sz w:val="24"/>
                <w:szCs w:val="24"/>
              </w:rPr>
            </w:pPr>
            <w:r w:rsidRPr="00DA412B">
              <w:rPr>
                <w:b/>
                <w:bCs/>
                <w:i/>
                <w:iCs/>
                <w:sz w:val="24"/>
                <w:szCs w:val="24"/>
              </w:rPr>
              <w:t>Phase-in range amount</w:t>
            </w:r>
          </w:p>
        </w:tc>
      </w:tr>
      <w:tr w:rsidR="00863021" w:rsidRPr="00DA412B" w14:paraId="556A5BAA" w14:textId="77777777" w:rsidTr="009635C1">
        <w:tc>
          <w:tcPr>
            <w:tcW w:w="2876" w:type="dxa"/>
          </w:tcPr>
          <w:p w14:paraId="58349D4A" w14:textId="77777777" w:rsidR="00863021" w:rsidRPr="00DA412B" w:rsidRDefault="00863021" w:rsidP="009635C1">
            <w:pPr>
              <w:spacing w:after="0"/>
              <w:rPr>
                <w:sz w:val="24"/>
                <w:szCs w:val="24"/>
              </w:rPr>
            </w:pPr>
            <w:r w:rsidRPr="00DA412B">
              <w:rPr>
                <w:sz w:val="24"/>
                <w:szCs w:val="24"/>
              </w:rPr>
              <w:t>Married filing jointly</w:t>
            </w:r>
          </w:p>
        </w:tc>
        <w:tc>
          <w:tcPr>
            <w:tcW w:w="2877" w:type="dxa"/>
          </w:tcPr>
          <w:p w14:paraId="75830243" w14:textId="66721702" w:rsidR="00863021" w:rsidRPr="00DA412B" w:rsidRDefault="00863021" w:rsidP="009635C1">
            <w:pPr>
              <w:spacing w:after="0"/>
              <w:rPr>
                <w:sz w:val="24"/>
                <w:szCs w:val="24"/>
              </w:rPr>
            </w:pPr>
            <w:r w:rsidRPr="00DA412B">
              <w:rPr>
                <w:sz w:val="24"/>
                <w:szCs w:val="24"/>
              </w:rPr>
              <w:t>$</w:t>
            </w:r>
            <w:r w:rsidR="00D85477">
              <w:rPr>
                <w:sz w:val="24"/>
                <w:szCs w:val="24"/>
              </w:rPr>
              <w:t>383,900</w:t>
            </w:r>
          </w:p>
        </w:tc>
        <w:tc>
          <w:tcPr>
            <w:tcW w:w="2877" w:type="dxa"/>
          </w:tcPr>
          <w:p w14:paraId="3DFAB123" w14:textId="1970158D" w:rsidR="00863021" w:rsidRPr="00DA412B" w:rsidRDefault="00863021" w:rsidP="009635C1">
            <w:pPr>
              <w:spacing w:after="0"/>
              <w:rPr>
                <w:sz w:val="24"/>
                <w:szCs w:val="24"/>
              </w:rPr>
            </w:pPr>
            <w:r w:rsidRPr="00DA412B">
              <w:rPr>
                <w:sz w:val="24"/>
                <w:szCs w:val="24"/>
              </w:rPr>
              <w:t>$</w:t>
            </w:r>
            <w:r w:rsidR="00D85477">
              <w:rPr>
                <w:sz w:val="24"/>
                <w:szCs w:val="24"/>
              </w:rPr>
              <w:t>483,900</w:t>
            </w:r>
          </w:p>
        </w:tc>
      </w:tr>
      <w:tr w:rsidR="00863021" w:rsidRPr="00DA412B" w14:paraId="08E12CCB" w14:textId="77777777" w:rsidTr="009635C1">
        <w:tc>
          <w:tcPr>
            <w:tcW w:w="2876" w:type="dxa"/>
          </w:tcPr>
          <w:p w14:paraId="6C4B5B54" w14:textId="77777777" w:rsidR="00863021" w:rsidRPr="00DA412B" w:rsidRDefault="00863021" w:rsidP="009635C1">
            <w:pPr>
              <w:spacing w:after="0"/>
              <w:rPr>
                <w:sz w:val="24"/>
                <w:szCs w:val="24"/>
              </w:rPr>
            </w:pPr>
            <w:r w:rsidRPr="00DA412B">
              <w:rPr>
                <w:sz w:val="24"/>
                <w:szCs w:val="24"/>
              </w:rPr>
              <w:t>All other filers</w:t>
            </w:r>
          </w:p>
        </w:tc>
        <w:tc>
          <w:tcPr>
            <w:tcW w:w="2877" w:type="dxa"/>
          </w:tcPr>
          <w:p w14:paraId="21FB85CD" w14:textId="524A770C" w:rsidR="00863021" w:rsidRPr="00DA412B" w:rsidRDefault="00863021" w:rsidP="009635C1">
            <w:pPr>
              <w:spacing w:after="0"/>
              <w:rPr>
                <w:sz w:val="24"/>
                <w:szCs w:val="24"/>
              </w:rPr>
            </w:pPr>
            <w:r w:rsidRPr="00DA412B">
              <w:rPr>
                <w:sz w:val="24"/>
                <w:szCs w:val="24"/>
              </w:rPr>
              <w:t>$</w:t>
            </w:r>
            <w:r w:rsidR="00D85477">
              <w:rPr>
                <w:sz w:val="24"/>
                <w:szCs w:val="24"/>
              </w:rPr>
              <w:t>191,950</w:t>
            </w:r>
          </w:p>
        </w:tc>
        <w:tc>
          <w:tcPr>
            <w:tcW w:w="2877" w:type="dxa"/>
          </w:tcPr>
          <w:p w14:paraId="4948CCAF" w14:textId="2A77F4CF" w:rsidR="00863021" w:rsidRPr="00DA412B" w:rsidRDefault="00863021" w:rsidP="009635C1">
            <w:pPr>
              <w:spacing w:after="0"/>
              <w:rPr>
                <w:sz w:val="24"/>
                <w:szCs w:val="24"/>
              </w:rPr>
            </w:pPr>
            <w:r w:rsidRPr="00DA412B">
              <w:rPr>
                <w:sz w:val="24"/>
                <w:szCs w:val="24"/>
              </w:rPr>
              <w:t>$</w:t>
            </w:r>
            <w:r w:rsidR="00D85477">
              <w:rPr>
                <w:sz w:val="24"/>
                <w:szCs w:val="24"/>
              </w:rPr>
              <w:t>241,950</w:t>
            </w:r>
          </w:p>
        </w:tc>
      </w:tr>
    </w:tbl>
    <w:p w14:paraId="41802BB5" w14:textId="77777777" w:rsidR="00863021" w:rsidRDefault="00863021" w:rsidP="00863021">
      <w:pPr>
        <w:spacing w:after="0"/>
      </w:pPr>
    </w:p>
    <w:p w14:paraId="4CA0B9B4" w14:textId="77777777" w:rsidR="00863021" w:rsidRDefault="00863021" w:rsidP="00E01AE2">
      <w:pPr>
        <w:pStyle w:val="Heading2"/>
      </w:pPr>
      <w:r>
        <w:t>Chapter 22—Miscellaneous Business Deductions</w:t>
      </w:r>
    </w:p>
    <w:p w14:paraId="45D3BCE2" w14:textId="0C5F801A" w:rsidR="00665A9A" w:rsidRPr="00A65758" w:rsidRDefault="00665A9A" w:rsidP="00665A9A">
      <w:pPr>
        <w:spacing w:after="0"/>
        <w:rPr>
          <w:bCs/>
        </w:rPr>
      </w:pPr>
      <w:r>
        <w:rPr>
          <w:b/>
          <w:bCs/>
          <w:i/>
        </w:rPr>
        <w:t xml:space="preserve">Charitable contribution deductions. </w:t>
      </w:r>
      <w:r w:rsidR="00565719">
        <w:rPr>
          <w:bCs/>
        </w:rPr>
        <w:t>A</w:t>
      </w:r>
      <w:r>
        <w:rPr>
          <w:bCs/>
        </w:rPr>
        <w:t xml:space="preserve"> charitable contribution deduction for a conservation easement is disallowed for partnerships and S corporations if the contribution amount exceeds 2.5 times the sum of each partner’s or S corporation’s shareholder’s relevant basis. Proposed regulations would require reporting for partners and S corporation shareholders receiving a distributive share or pro rata share of a noncash charitable contribution made by partnership or S corporation, without regard to whether the contribution is a qualified conservation easement; this would be done on Form 8283.</w:t>
      </w:r>
      <w:r w:rsidR="00565719">
        <w:rPr>
          <w:bCs/>
        </w:rPr>
        <w:t xml:space="preserve"> Check to see if final regulations are issued and when they </w:t>
      </w:r>
      <w:r w:rsidR="00C13755">
        <w:rPr>
          <w:bCs/>
        </w:rPr>
        <w:t>be</w:t>
      </w:r>
      <w:r w:rsidR="00565719">
        <w:rPr>
          <w:bCs/>
        </w:rPr>
        <w:t>come effective.</w:t>
      </w:r>
    </w:p>
    <w:p w14:paraId="523BB349" w14:textId="77777777" w:rsidR="00665A9A" w:rsidRDefault="00665A9A" w:rsidP="00863021">
      <w:pPr>
        <w:spacing w:after="0"/>
        <w:rPr>
          <w:b/>
          <w:bCs/>
          <w:i/>
        </w:rPr>
      </w:pPr>
    </w:p>
    <w:p w14:paraId="4D00FBC1" w14:textId="37A34858" w:rsidR="00863021" w:rsidRDefault="00863021" w:rsidP="00863021">
      <w:pPr>
        <w:spacing w:after="0"/>
        <w:rPr>
          <w:bCs/>
        </w:rPr>
      </w:pPr>
      <w:r>
        <w:rPr>
          <w:b/>
          <w:bCs/>
          <w:i/>
        </w:rPr>
        <w:t>Personal education incentives for 202</w:t>
      </w:r>
      <w:r w:rsidR="00665A9A">
        <w:rPr>
          <w:b/>
          <w:bCs/>
          <w:i/>
        </w:rPr>
        <w:t>4</w:t>
      </w:r>
      <w:r>
        <w:rPr>
          <w:b/>
          <w:bCs/>
          <w:i/>
        </w:rPr>
        <w:t xml:space="preserve">: </w:t>
      </w:r>
      <w:r w:rsidRPr="00B057E2">
        <w:rPr>
          <w:b/>
          <w:bCs/>
          <w:i/>
        </w:rPr>
        <w:t>Student loan interest</w:t>
      </w:r>
      <w:r w:rsidRPr="00B057E2">
        <w:rPr>
          <w:b/>
          <w:bCs/>
        </w:rPr>
        <w:t>.</w:t>
      </w:r>
      <w:r>
        <w:rPr>
          <w:bCs/>
        </w:rPr>
        <w:t xml:space="preserve"> The 202</w:t>
      </w:r>
      <w:r w:rsidR="00D85477">
        <w:rPr>
          <w:bCs/>
        </w:rPr>
        <w:t>4</w:t>
      </w:r>
      <w:r>
        <w:rPr>
          <w:bCs/>
        </w:rPr>
        <w:t xml:space="preserve"> modified adjusted gross income range over which the deduction limit up to $2,500 of interest is phased out is $</w:t>
      </w:r>
      <w:r w:rsidRPr="00252149">
        <w:rPr>
          <w:bCs/>
        </w:rPr>
        <w:t>1</w:t>
      </w:r>
      <w:r w:rsidR="00D85477">
        <w:rPr>
          <w:bCs/>
        </w:rPr>
        <w:t>6</w:t>
      </w:r>
      <w:r>
        <w:rPr>
          <w:bCs/>
        </w:rPr>
        <w:t>5</w:t>
      </w:r>
      <w:r w:rsidRPr="00252149">
        <w:rPr>
          <w:bCs/>
        </w:rPr>
        <w:t>,000 to $1</w:t>
      </w:r>
      <w:r w:rsidR="00D85477">
        <w:rPr>
          <w:bCs/>
        </w:rPr>
        <w:t>7</w:t>
      </w:r>
      <w:r>
        <w:rPr>
          <w:bCs/>
        </w:rPr>
        <w:t>5</w:t>
      </w:r>
      <w:r w:rsidRPr="00252149">
        <w:rPr>
          <w:bCs/>
        </w:rPr>
        <w:t>,000 on a joint return; for singles it is $</w:t>
      </w:r>
      <w:r w:rsidR="00D85477">
        <w:rPr>
          <w:bCs/>
        </w:rPr>
        <w:t>80</w:t>
      </w:r>
      <w:r w:rsidRPr="00252149">
        <w:rPr>
          <w:bCs/>
        </w:rPr>
        <w:t>,000 to $</w:t>
      </w:r>
      <w:r>
        <w:rPr>
          <w:bCs/>
        </w:rPr>
        <w:t>9</w:t>
      </w:r>
      <w:r w:rsidR="00D85477">
        <w:rPr>
          <w:bCs/>
        </w:rPr>
        <w:t>5</w:t>
      </w:r>
      <w:r w:rsidRPr="00252149">
        <w:rPr>
          <w:bCs/>
        </w:rPr>
        <w:t>,000</w:t>
      </w:r>
      <w:r>
        <w:rPr>
          <w:bCs/>
        </w:rPr>
        <w:t xml:space="preserve">. </w:t>
      </w:r>
    </w:p>
    <w:p w14:paraId="044287F1" w14:textId="655A47FE" w:rsidR="00863021" w:rsidRPr="00CF357F" w:rsidRDefault="00863021" w:rsidP="00D85477">
      <w:pPr>
        <w:spacing w:after="0"/>
        <w:rPr>
          <w:bCs/>
        </w:rPr>
      </w:pPr>
      <w:r>
        <w:rPr>
          <w:bCs/>
        </w:rPr>
        <w:tab/>
        <w:t>Cancellation of student loan debt by most lenders is not taxable income. This rule applies through 2025.</w:t>
      </w:r>
      <w:r w:rsidR="00D85477">
        <w:rPr>
          <w:bCs/>
        </w:rPr>
        <w:t xml:space="preserve"> However, different tax treatment applies in certain states for state income tax purposes.</w:t>
      </w:r>
      <w:r>
        <w:rPr>
          <w:bCs/>
        </w:rPr>
        <w:tab/>
      </w:r>
    </w:p>
    <w:p w14:paraId="0765D908" w14:textId="77777777" w:rsidR="00863021" w:rsidRDefault="00863021" w:rsidP="00863021">
      <w:pPr>
        <w:spacing w:after="0"/>
        <w:rPr>
          <w:b/>
          <w:bCs/>
          <w:i/>
        </w:rPr>
      </w:pPr>
    </w:p>
    <w:p w14:paraId="38E877A1" w14:textId="4C6E0455" w:rsidR="00863021" w:rsidRPr="00A65758" w:rsidRDefault="00863021" w:rsidP="00863021">
      <w:pPr>
        <w:spacing w:after="0"/>
        <w:rPr>
          <w:bCs/>
        </w:rPr>
      </w:pPr>
      <w:r>
        <w:rPr>
          <w:b/>
          <w:bCs/>
          <w:i/>
        </w:rPr>
        <w:t xml:space="preserve">Legal and professional fees. </w:t>
      </w:r>
      <w:r>
        <w:rPr>
          <w:bCs/>
        </w:rPr>
        <w:t>If you win a dispute with the IRS in which the government was not substantially justified, you may be able to recover costs up to a set dollar amount. For 202</w:t>
      </w:r>
      <w:r w:rsidR="00D85477">
        <w:rPr>
          <w:bCs/>
        </w:rPr>
        <w:t>4</w:t>
      </w:r>
      <w:r>
        <w:rPr>
          <w:bCs/>
        </w:rPr>
        <w:t>, the dollar amount is $</w:t>
      </w:r>
      <w:r w:rsidRPr="00252149">
        <w:rPr>
          <w:bCs/>
        </w:rPr>
        <w:t>2</w:t>
      </w:r>
      <w:r w:rsidR="00D85477">
        <w:rPr>
          <w:bCs/>
        </w:rPr>
        <w:t>4</w:t>
      </w:r>
      <w:r w:rsidRPr="00252149">
        <w:rPr>
          <w:bCs/>
        </w:rPr>
        <w:t>0 per hour (</w:t>
      </w:r>
      <w:r>
        <w:rPr>
          <w:bCs/>
        </w:rPr>
        <w:t>up from $2</w:t>
      </w:r>
      <w:r w:rsidR="00D85477">
        <w:rPr>
          <w:bCs/>
        </w:rPr>
        <w:t>3</w:t>
      </w:r>
      <w:r>
        <w:rPr>
          <w:bCs/>
        </w:rPr>
        <w:t>0 in 202</w:t>
      </w:r>
      <w:r w:rsidR="00D85477">
        <w:rPr>
          <w:bCs/>
        </w:rPr>
        <w:t>3</w:t>
      </w:r>
      <w:r>
        <w:rPr>
          <w:bCs/>
        </w:rPr>
        <w:t>).</w:t>
      </w:r>
    </w:p>
    <w:p w14:paraId="49421AA7" w14:textId="77777777" w:rsidR="00863021" w:rsidRDefault="00863021" w:rsidP="00863021">
      <w:pPr>
        <w:spacing w:after="0"/>
        <w:rPr>
          <w:b/>
          <w:bCs/>
          <w:i/>
        </w:rPr>
      </w:pPr>
    </w:p>
    <w:p w14:paraId="0805573B" w14:textId="78859592" w:rsidR="00863021" w:rsidRDefault="00863021" w:rsidP="00863021">
      <w:pPr>
        <w:spacing w:after="0"/>
        <w:rPr>
          <w:bCs/>
        </w:rPr>
      </w:pPr>
      <w:r>
        <w:rPr>
          <w:b/>
          <w:bCs/>
          <w:i/>
        </w:rPr>
        <w:t xml:space="preserve">Meal costs for day care providers. </w:t>
      </w:r>
      <w:r>
        <w:rPr>
          <w:bCs/>
        </w:rPr>
        <w:t>For 202</w:t>
      </w:r>
      <w:r w:rsidR="00D85477">
        <w:rPr>
          <w:bCs/>
        </w:rPr>
        <w:t>4</w:t>
      </w:r>
      <w:r>
        <w:rPr>
          <w:bCs/>
        </w:rPr>
        <w:t>, the rates for standard meals and snack rates in all localities have increased. They are:</w:t>
      </w:r>
    </w:p>
    <w:p w14:paraId="4FF02EC0" w14:textId="77777777" w:rsidR="00863021" w:rsidRPr="00DC11A0" w:rsidRDefault="00863021" w:rsidP="00863021">
      <w:pPr>
        <w:spacing w:after="0"/>
        <w:rPr>
          <w:bCs/>
        </w:rPr>
      </w:pPr>
      <w:r w:rsidRPr="00DC11A0" w:rsidDel="00D13367">
        <w:rPr>
          <w:bCs/>
        </w:rPr>
        <w:t>B</w:t>
      </w:r>
      <w:r w:rsidRPr="00DC11A0">
        <w:rPr>
          <w:bCs/>
        </w:rPr>
        <w:t>reakfast:</w:t>
      </w:r>
    </w:p>
    <w:p w14:paraId="4C3E5E0E" w14:textId="59E1778F" w:rsidR="00863021" w:rsidRPr="0082393B" w:rsidRDefault="00863021" w:rsidP="00863021">
      <w:pPr>
        <w:numPr>
          <w:ilvl w:val="0"/>
          <w:numId w:val="2"/>
        </w:numPr>
        <w:spacing w:after="0"/>
        <w:rPr>
          <w:bCs/>
        </w:rPr>
      </w:pPr>
      <w:r w:rsidRPr="0082393B">
        <w:rPr>
          <w:bCs/>
        </w:rPr>
        <w:t>States other than Alaska and Hawaii:</w:t>
      </w:r>
      <w:r w:rsidRPr="0082393B" w:rsidDel="00D13367">
        <w:rPr>
          <w:bCs/>
        </w:rPr>
        <w:t xml:space="preserve"> </w:t>
      </w:r>
      <w:r w:rsidRPr="0082393B">
        <w:rPr>
          <w:bCs/>
        </w:rPr>
        <w:t>$1.</w:t>
      </w:r>
      <w:r>
        <w:rPr>
          <w:bCs/>
        </w:rPr>
        <w:t>6</w:t>
      </w:r>
      <w:r w:rsidR="00173A46">
        <w:rPr>
          <w:bCs/>
        </w:rPr>
        <w:t>5</w:t>
      </w:r>
    </w:p>
    <w:p w14:paraId="0FAB24EB" w14:textId="57CA8BA4" w:rsidR="00863021" w:rsidRPr="0082393B" w:rsidRDefault="00863021" w:rsidP="00863021">
      <w:pPr>
        <w:numPr>
          <w:ilvl w:val="0"/>
          <w:numId w:val="2"/>
        </w:numPr>
        <w:spacing w:after="0"/>
        <w:rPr>
          <w:bCs/>
        </w:rPr>
      </w:pPr>
      <w:r w:rsidRPr="0082393B">
        <w:rPr>
          <w:bCs/>
        </w:rPr>
        <w:t>Alaska:</w:t>
      </w:r>
      <w:r w:rsidRPr="0082393B" w:rsidDel="00D13367">
        <w:rPr>
          <w:bCs/>
        </w:rPr>
        <w:t xml:space="preserve"> </w:t>
      </w:r>
      <w:r w:rsidRPr="0082393B">
        <w:rPr>
          <w:bCs/>
        </w:rPr>
        <w:t>$2.</w:t>
      </w:r>
      <w:r w:rsidR="00173A46">
        <w:rPr>
          <w:bCs/>
        </w:rPr>
        <w:t>63</w:t>
      </w:r>
    </w:p>
    <w:p w14:paraId="33B3F914" w14:textId="74747F36" w:rsidR="00863021" w:rsidRPr="0082393B" w:rsidRDefault="00863021" w:rsidP="00863021">
      <w:pPr>
        <w:numPr>
          <w:ilvl w:val="0"/>
          <w:numId w:val="2"/>
        </w:numPr>
        <w:spacing w:after="0"/>
        <w:rPr>
          <w:bCs/>
        </w:rPr>
      </w:pPr>
      <w:r w:rsidRPr="0082393B">
        <w:rPr>
          <w:bCs/>
        </w:rPr>
        <w:t>Hawaii: $</w:t>
      </w:r>
      <w:r w:rsidR="00173A46">
        <w:rPr>
          <w:bCs/>
        </w:rPr>
        <w:t>2.12</w:t>
      </w:r>
    </w:p>
    <w:p w14:paraId="1A674677" w14:textId="77777777" w:rsidR="00863021" w:rsidRPr="0082393B" w:rsidRDefault="00863021" w:rsidP="00863021">
      <w:pPr>
        <w:spacing w:after="0"/>
        <w:rPr>
          <w:bCs/>
        </w:rPr>
      </w:pPr>
      <w:r w:rsidRPr="0082393B">
        <w:rPr>
          <w:bCs/>
        </w:rPr>
        <w:t>Lunch and dinner:</w:t>
      </w:r>
    </w:p>
    <w:p w14:paraId="070700AD" w14:textId="33D7F5FA" w:rsidR="00863021" w:rsidRPr="0082393B" w:rsidRDefault="00863021" w:rsidP="00863021">
      <w:pPr>
        <w:numPr>
          <w:ilvl w:val="0"/>
          <w:numId w:val="3"/>
        </w:numPr>
        <w:spacing w:after="0"/>
        <w:rPr>
          <w:bCs/>
        </w:rPr>
      </w:pPr>
      <w:r w:rsidRPr="0082393B">
        <w:rPr>
          <w:bCs/>
        </w:rPr>
        <w:t>States other than Alaska and Hawaii:</w:t>
      </w:r>
      <w:r w:rsidRPr="0082393B" w:rsidDel="00D13367">
        <w:rPr>
          <w:bCs/>
        </w:rPr>
        <w:t xml:space="preserve"> </w:t>
      </w:r>
      <w:r w:rsidRPr="0082393B">
        <w:rPr>
          <w:bCs/>
        </w:rPr>
        <w:t>$</w:t>
      </w:r>
      <w:r>
        <w:rPr>
          <w:bCs/>
        </w:rPr>
        <w:t>3.</w:t>
      </w:r>
      <w:r w:rsidR="00173A46">
        <w:rPr>
          <w:bCs/>
        </w:rPr>
        <w:t>12</w:t>
      </w:r>
    </w:p>
    <w:p w14:paraId="32B19E3A" w14:textId="37DD9804" w:rsidR="00863021" w:rsidRPr="0082393B" w:rsidRDefault="00863021" w:rsidP="00863021">
      <w:pPr>
        <w:numPr>
          <w:ilvl w:val="0"/>
          <w:numId w:val="3"/>
        </w:numPr>
        <w:spacing w:after="0"/>
        <w:rPr>
          <w:bCs/>
        </w:rPr>
      </w:pPr>
      <w:r w:rsidRPr="0082393B">
        <w:rPr>
          <w:bCs/>
        </w:rPr>
        <w:lastRenderedPageBreak/>
        <w:t>Alaska: $</w:t>
      </w:r>
      <w:r w:rsidR="00173A46">
        <w:rPr>
          <w:bCs/>
        </w:rPr>
        <w:t>5.05</w:t>
      </w:r>
    </w:p>
    <w:p w14:paraId="630FE572" w14:textId="744DFD7B" w:rsidR="00863021" w:rsidRPr="0082393B" w:rsidRDefault="00863021" w:rsidP="00863021">
      <w:pPr>
        <w:numPr>
          <w:ilvl w:val="0"/>
          <w:numId w:val="3"/>
        </w:numPr>
        <w:spacing w:after="0"/>
        <w:rPr>
          <w:bCs/>
        </w:rPr>
      </w:pPr>
      <w:r w:rsidRPr="0082393B">
        <w:rPr>
          <w:bCs/>
        </w:rPr>
        <w:t>Hawaii: $</w:t>
      </w:r>
      <w:r w:rsidR="00173A46">
        <w:rPr>
          <w:bCs/>
        </w:rPr>
        <w:t>4.05</w:t>
      </w:r>
    </w:p>
    <w:p w14:paraId="73E2201A" w14:textId="77777777" w:rsidR="00863021" w:rsidRPr="0082393B" w:rsidRDefault="00863021" w:rsidP="00863021">
      <w:pPr>
        <w:spacing w:after="0"/>
        <w:rPr>
          <w:bCs/>
        </w:rPr>
      </w:pPr>
      <w:r w:rsidRPr="0082393B">
        <w:rPr>
          <w:bCs/>
        </w:rPr>
        <w:t>Snacks:</w:t>
      </w:r>
    </w:p>
    <w:p w14:paraId="44F66F8B" w14:textId="1C830F1E" w:rsidR="00863021" w:rsidRPr="0082393B" w:rsidRDefault="00863021" w:rsidP="00863021">
      <w:pPr>
        <w:numPr>
          <w:ilvl w:val="0"/>
          <w:numId w:val="4"/>
        </w:numPr>
        <w:spacing w:after="0"/>
        <w:rPr>
          <w:bCs/>
        </w:rPr>
      </w:pPr>
      <w:r w:rsidRPr="0082393B">
        <w:rPr>
          <w:bCs/>
        </w:rPr>
        <w:t>States other than Alaska and Hawaii:</w:t>
      </w:r>
      <w:r w:rsidRPr="0082393B" w:rsidDel="00D13367">
        <w:rPr>
          <w:bCs/>
        </w:rPr>
        <w:t xml:space="preserve"> </w:t>
      </w:r>
      <w:r w:rsidRPr="0082393B">
        <w:rPr>
          <w:bCs/>
        </w:rPr>
        <w:t>$0.</w:t>
      </w:r>
      <w:r w:rsidR="00173A46">
        <w:rPr>
          <w:bCs/>
        </w:rPr>
        <w:t>93</w:t>
      </w:r>
    </w:p>
    <w:p w14:paraId="3D220921" w14:textId="67ECF713" w:rsidR="00863021" w:rsidRPr="0082393B" w:rsidRDefault="00863021" w:rsidP="00863021">
      <w:pPr>
        <w:numPr>
          <w:ilvl w:val="0"/>
          <w:numId w:val="4"/>
        </w:numPr>
        <w:spacing w:after="0"/>
        <w:rPr>
          <w:bCs/>
        </w:rPr>
      </w:pPr>
      <w:r w:rsidRPr="0082393B">
        <w:rPr>
          <w:bCs/>
        </w:rPr>
        <w:t>Alaska: $1.</w:t>
      </w:r>
      <w:r w:rsidR="00173A46">
        <w:rPr>
          <w:bCs/>
        </w:rPr>
        <w:t>50</w:t>
      </w:r>
    </w:p>
    <w:p w14:paraId="5DC50476" w14:textId="5C3C12FD" w:rsidR="00863021" w:rsidRPr="0082393B" w:rsidRDefault="00863021" w:rsidP="00863021">
      <w:pPr>
        <w:numPr>
          <w:ilvl w:val="0"/>
          <w:numId w:val="4"/>
        </w:numPr>
        <w:spacing w:after="0"/>
        <w:rPr>
          <w:bCs/>
        </w:rPr>
      </w:pPr>
      <w:r w:rsidRPr="0082393B">
        <w:rPr>
          <w:bCs/>
        </w:rPr>
        <w:t>Hawaii: $</w:t>
      </w:r>
      <w:r>
        <w:rPr>
          <w:bCs/>
        </w:rPr>
        <w:t>1.</w:t>
      </w:r>
      <w:r w:rsidR="00173A46">
        <w:rPr>
          <w:bCs/>
        </w:rPr>
        <w:t>20</w:t>
      </w:r>
    </w:p>
    <w:p w14:paraId="6A491C06" w14:textId="77777777" w:rsidR="00863021" w:rsidRDefault="00863021" w:rsidP="00E01AE2">
      <w:pPr>
        <w:pStyle w:val="Heading2"/>
      </w:pPr>
    </w:p>
    <w:p w14:paraId="11C5075F" w14:textId="77777777" w:rsidR="00863021" w:rsidRPr="006A0088" w:rsidRDefault="00863021" w:rsidP="00E01AE2">
      <w:pPr>
        <w:pStyle w:val="Heading2"/>
      </w:pPr>
      <w:r w:rsidRPr="006A0088">
        <w:t>Chapter 23</w:t>
      </w:r>
      <w:r w:rsidRPr="006A0088" w:rsidDel="00D13367">
        <w:t>—</w:t>
      </w:r>
      <w:r w:rsidRPr="006A0088">
        <w:t>Roundup of Tax Credits</w:t>
      </w:r>
    </w:p>
    <w:p w14:paraId="2CC4F484" w14:textId="472EDD18" w:rsidR="00863021" w:rsidRDefault="008965FD" w:rsidP="00863021">
      <w:pPr>
        <w:spacing w:after="0"/>
        <w:rPr>
          <w:bCs/>
          <w:iCs/>
        </w:rPr>
      </w:pPr>
      <w:r>
        <w:rPr>
          <w:b/>
          <w:i/>
        </w:rPr>
        <w:t xml:space="preserve">Employer credit for FICA on tips. </w:t>
      </w:r>
      <w:r>
        <w:rPr>
          <w:bCs/>
          <w:iCs/>
        </w:rPr>
        <w:t xml:space="preserve">A </w:t>
      </w:r>
      <w:r w:rsidR="00294281">
        <w:rPr>
          <w:bCs/>
          <w:iCs/>
        </w:rPr>
        <w:t xml:space="preserve">legislative </w:t>
      </w:r>
      <w:r>
        <w:rPr>
          <w:bCs/>
          <w:iCs/>
        </w:rPr>
        <w:t>proposal to extend the credit to industries other than the food and beverage industry, such as beauty and nail salons, has not been enacted. Will it be reconsidered in 2024?</w:t>
      </w:r>
    </w:p>
    <w:p w14:paraId="558C4F6F" w14:textId="77777777" w:rsidR="00020EE6" w:rsidRDefault="00020EE6" w:rsidP="00863021">
      <w:pPr>
        <w:spacing w:after="0"/>
        <w:rPr>
          <w:bCs/>
          <w:iCs/>
        </w:rPr>
      </w:pPr>
    </w:p>
    <w:p w14:paraId="09D0575D" w14:textId="7361ADD5" w:rsidR="00020EE6" w:rsidRPr="00020EE6" w:rsidRDefault="00020EE6" w:rsidP="00020EE6">
      <w:pPr>
        <w:spacing w:after="0"/>
        <w:jc w:val="both"/>
        <w:rPr>
          <w:bCs/>
          <w:iCs/>
        </w:rPr>
      </w:pPr>
      <w:r>
        <w:rPr>
          <w:b/>
          <w:i/>
        </w:rPr>
        <w:t xml:space="preserve">Low-income housing credit. </w:t>
      </w:r>
      <w:r>
        <w:rPr>
          <w:bCs/>
          <w:iCs/>
        </w:rPr>
        <w:t xml:space="preserve">The Tax Relief for American Families and Workers Act of 2024, if enacted, would </w:t>
      </w:r>
      <w:r w:rsidR="0080745D">
        <w:t>increase the credit ceiling for 2023 through 2025.</w:t>
      </w:r>
    </w:p>
    <w:p w14:paraId="39FE5872" w14:textId="77777777" w:rsidR="00783B31" w:rsidRDefault="00783B31" w:rsidP="00863021">
      <w:pPr>
        <w:spacing w:after="0"/>
        <w:rPr>
          <w:bCs/>
          <w:iCs/>
        </w:rPr>
      </w:pPr>
    </w:p>
    <w:p w14:paraId="047449DE" w14:textId="77777777" w:rsidR="00863021" w:rsidRDefault="00863021" w:rsidP="00863021">
      <w:pPr>
        <w:spacing w:after="0"/>
        <w:rPr>
          <w:rFonts w:ascii="Georgia" w:hAnsi="Georgia"/>
          <w:b/>
          <w:i/>
          <w:sz w:val="30"/>
        </w:rPr>
      </w:pPr>
      <w:r>
        <w:rPr>
          <w:rFonts w:ascii="Georgia" w:hAnsi="Georgia"/>
          <w:b/>
          <w:i/>
          <w:sz w:val="30"/>
        </w:rPr>
        <w:t>Chapter 29—Alternative Minimum Tax</w:t>
      </w:r>
    </w:p>
    <w:p w14:paraId="7C428DC1" w14:textId="479DEE29" w:rsidR="00863021" w:rsidRDefault="00863021" w:rsidP="00863021">
      <w:pPr>
        <w:spacing w:after="0"/>
        <w:rPr>
          <w:bCs/>
        </w:rPr>
      </w:pPr>
      <w:r w:rsidRPr="00FC1F69">
        <w:rPr>
          <w:b/>
          <w:bCs/>
          <w:i/>
        </w:rPr>
        <w:t xml:space="preserve">Exemption amounts. </w:t>
      </w:r>
      <w:r w:rsidRPr="00FC1F69">
        <w:rPr>
          <w:bCs/>
        </w:rPr>
        <w:t>The AMT exemption amounts for 202</w:t>
      </w:r>
      <w:r w:rsidR="006A0088">
        <w:rPr>
          <w:bCs/>
        </w:rPr>
        <w:t>4</w:t>
      </w:r>
      <w:r w:rsidRPr="00FC1F69">
        <w:rPr>
          <w:bCs/>
        </w:rPr>
        <w:t xml:space="preserve"> are:</w:t>
      </w:r>
    </w:p>
    <w:p w14:paraId="1E1F4F39" w14:textId="77777777" w:rsidR="00E01AE2" w:rsidRPr="00FC1F69" w:rsidRDefault="00E01AE2" w:rsidP="00863021">
      <w:pPr>
        <w:spacing w:after="0"/>
        <w:rPr>
          <w:bCs/>
        </w:rPr>
      </w:pPr>
    </w:p>
    <w:tbl>
      <w:tblPr>
        <w:tblStyle w:val="TableGrid"/>
        <w:tblW w:w="0" w:type="auto"/>
        <w:tblLook w:val="04A0" w:firstRow="1" w:lastRow="0" w:firstColumn="1" w:lastColumn="0" w:noHBand="0" w:noVBand="1"/>
      </w:tblPr>
      <w:tblGrid>
        <w:gridCol w:w="4518"/>
        <w:gridCol w:w="2178"/>
      </w:tblGrid>
      <w:tr w:rsidR="00863021" w:rsidRPr="00FC1F69" w14:paraId="32C83A3E" w14:textId="77777777" w:rsidTr="009635C1">
        <w:tc>
          <w:tcPr>
            <w:tcW w:w="4518" w:type="dxa"/>
          </w:tcPr>
          <w:p w14:paraId="20452997" w14:textId="77777777" w:rsidR="00863021" w:rsidRPr="00CC4B07" w:rsidRDefault="00863021" w:rsidP="009635C1">
            <w:pPr>
              <w:spacing w:after="0"/>
              <w:jc w:val="center"/>
              <w:rPr>
                <w:b/>
                <w:bCs/>
                <w:i/>
                <w:iCs/>
                <w:sz w:val="24"/>
                <w:szCs w:val="24"/>
              </w:rPr>
            </w:pPr>
            <w:r w:rsidRPr="00CC4B07">
              <w:rPr>
                <w:b/>
                <w:bCs/>
                <w:i/>
                <w:iCs/>
                <w:sz w:val="24"/>
                <w:szCs w:val="24"/>
              </w:rPr>
              <w:t>Filing status</w:t>
            </w:r>
          </w:p>
        </w:tc>
        <w:tc>
          <w:tcPr>
            <w:tcW w:w="2178" w:type="dxa"/>
          </w:tcPr>
          <w:p w14:paraId="18593EBB" w14:textId="69934A3F" w:rsidR="00863021" w:rsidRPr="00CC4B07" w:rsidRDefault="00863021" w:rsidP="009635C1">
            <w:pPr>
              <w:spacing w:after="0"/>
              <w:jc w:val="center"/>
              <w:rPr>
                <w:b/>
                <w:bCs/>
                <w:i/>
                <w:iCs/>
                <w:sz w:val="24"/>
                <w:szCs w:val="24"/>
              </w:rPr>
            </w:pPr>
            <w:r w:rsidRPr="00CC4B07">
              <w:rPr>
                <w:b/>
                <w:bCs/>
                <w:i/>
                <w:iCs/>
                <w:sz w:val="24"/>
                <w:szCs w:val="24"/>
              </w:rPr>
              <w:t>202</w:t>
            </w:r>
            <w:r w:rsidR="00E01AE2" w:rsidRPr="00CC4B07">
              <w:rPr>
                <w:b/>
                <w:bCs/>
                <w:i/>
                <w:iCs/>
                <w:sz w:val="24"/>
                <w:szCs w:val="24"/>
              </w:rPr>
              <w:t>4</w:t>
            </w:r>
            <w:r w:rsidRPr="00CC4B07">
              <w:rPr>
                <w:b/>
                <w:bCs/>
                <w:i/>
                <w:iCs/>
                <w:sz w:val="24"/>
                <w:szCs w:val="24"/>
              </w:rPr>
              <w:t xml:space="preserve"> exemption</w:t>
            </w:r>
          </w:p>
        </w:tc>
      </w:tr>
      <w:tr w:rsidR="00863021" w:rsidRPr="00FC1F69" w14:paraId="1199E2AA" w14:textId="77777777" w:rsidTr="009635C1">
        <w:tc>
          <w:tcPr>
            <w:tcW w:w="4518" w:type="dxa"/>
          </w:tcPr>
          <w:p w14:paraId="466F19BD" w14:textId="77777777" w:rsidR="00863021" w:rsidRPr="00FC1F69" w:rsidRDefault="00863021" w:rsidP="009635C1">
            <w:pPr>
              <w:spacing w:after="0"/>
              <w:rPr>
                <w:bCs/>
                <w:sz w:val="24"/>
                <w:szCs w:val="24"/>
              </w:rPr>
            </w:pPr>
            <w:r w:rsidRPr="00FC1F69">
              <w:rPr>
                <w:bCs/>
                <w:sz w:val="24"/>
                <w:szCs w:val="24"/>
              </w:rPr>
              <w:t xml:space="preserve">Married filing jointly/surviving spouse </w:t>
            </w:r>
          </w:p>
        </w:tc>
        <w:tc>
          <w:tcPr>
            <w:tcW w:w="2178" w:type="dxa"/>
          </w:tcPr>
          <w:p w14:paraId="2F3B50DC" w14:textId="01F1AA5A" w:rsidR="00863021" w:rsidRPr="00FC1F69" w:rsidRDefault="00863021" w:rsidP="009635C1">
            <w:pPr>
              <w:spacing w:after="0"/>
              <w:jc w:val="center"/>
              <w:rPr>
                <w:bCs/>
                <w:sz w:val="24"/>
                <w:szCs w:val="24"/>
              </w:rPr>
            </w:pPr>
            <w:r w:rsidRPr="00FC1F69">
              <w:rPr>
                <w:bCs/>
                <w:sz w:val="24"/>
                <w:szCs w:val="24"/>
              </w:rPr>
              <w:t>$</w:t>
            </w:r>
            <w:r w:rsidR="00E01AE2">
              <w:rPr>
                <w:bCs/>
                <w:sz w:val="24"/>
                <w:szCs w:val="24"/>
              </w:rPr>
              <w:t>133,300</w:t>
            </w:r>
          </w:p>
        </w:tc>
      </w:tr>
      <w:tr w:rsidR="00863021" w:rsidRPr="00FC1F69" w14:paraId="45DBBED8" w14:textId="77777777" w:rsidTr="009635C1">
        <w:tc>
          <w:tcPr>
            <w:tcW w:w="4518" w:type="dxa"/>
          </w:tcPr>
          <w:p w14:paraId="579945F5" w14:textId="77777777" w:rsidR="00863021" w:rsidRPr="00FC1F69" w:rsidRDefault="00863021" w:rsidP="009635C1">
            <w:pPr>
              <w:spacing w:after="0"/>
              <w:rPr>
                <w:bCs/>
                <w:sz w:val="24"/>
                <w:szCs w:val="24"/>
              </w:rPr>
            </w:pPr>
            <w:r w:rsidRPr="00FC1F69">
              <w:rPr>
                <w:bCs/>
                <w:sz w:val="24"/>
                <w:szCs w:val="24"/>
              </w:rPr>
              <w:t>Single/head of household</w:t>
            </w:r>
          </w:p>
        </w:tc>
        <w:tc>
          <w:tcPr>
            <w:tcW w:w="2178" w:type="dxa"/>
          </w:tcPr>
          <w:p w14:paraId="2E1DBCAB" w14:textId="7C3177A7" w:rsidR="00863021" w:rsidRPr="00FC1F69" w:rsidRDefault="00863021" w:rsidP="009635C1">
            <w:pPr>
              <w:spacing w:after="0"/>
              <w:jc w:val="center"/>
              <w:rPr>
                <w:bCs/>
                <w:sz w:val="24"/>
                <w:szCs w:val="24"/>
              </w:rPr>
            </w:pPr>
            <w:r w:rsidRPr="00FC1F69">
              <w:rPr>
                <w:bCs/>
                <w:sz w:val="24"/>
                <w:szCs w:val="24"/>
              </w:rPr>
              <w:t>$</w:t>
            </w:r>
            <w:r w:rsidR="00E01AE2">
              <w:rPr>
                <w:bCs/>
                <w:sz w:val="24"/>
                <w:szCs w:val="24"/>
              </w:rPr>
              <w:t>85,700</w:t>
            </w:r>
          </w:p>
        </w:tc>
      </w:tr>
      <w:tr w:rsidR="00863021" w:rsidRPr="00FC1F69" w14:paraId="5E908624" w14:textId="77777777" w:rsidTr="009635C1">
        <w:tc>
          <w:tcPr>
            <w:tcW w:w="4518" w:type="dxa"/>
          </w:tcPr>
          <w:p w14:paraId="1A352C54" w14:textId="77777777" w:rsidR="00863021" w:rsidRPr="00FC1F69" w:rsidRDefault="00863021" w:rsidP="009635C1">
            <w:pPr>
              <w:spacing w:after="0"/>
              <w:rPr>
                <w:bCs/>
                <w:sz w:val="24"/>
                <w:szCs w:val="24"/>
              </w:rPr>
            </w:pPr>
            <w:r w:rsidRPr="00FC1F69">
              <w:rPr>
                <w:bCs/>
                <w:sz w:val="24"/>
                <w:szCs w:val="24"/>
              </w:rPr>
              <w:t>Married filing separately</w:t>
            </w:r>
          </w:p>
        </w:tc>
        <w:tc>
          <w:tcPr>
            <w:tcW w:w="2178" w:type="dxa"/>
          </w:tcPr>
          <w:p w14:paraId="04F24D6A" w14:textId="12199B8B" w:rsidR="00863021" w:rsidRPr="00FC1F69" w:rsidRDefault="00863021" w:rsidP="009635C1">
            <w:pPr>
              <w:spacing w:after="0"/>
              <w:jc w:val="center"/>
              <w:rPr>
                <w:bCs/>
                <w:sz w:val="24"/>
                <w:szCs w:val="24"/>
              </w:rPr>
            </w:pPr>
            <w:r w:rsidRPr="00FC1F69">
              <w:rPr>
                <w:bCs/>
                <w:sz w:val="24"/>
                <w:szCs w:val="24"/>
              </w:rPr>
              <w:t>$</w:t>
            </w:r>
            <w:r w:rsidR="00E01AE2">
              <w:rPr>
                <w:bCs/>
                <w:sz w:val="24"/>
                <w:szCs w:val="24"/>
              </w:rPr>
              <w:t>66</w:t>
            </w:r>
            <w:r w:rsidR="007B5D6E">
              <w:rPr>
                <w:bCs/>
                <w:sz w:val="24"/>
                <w:szCs w:val="24"/>
              </w:rPr>
              <w:t>,</w:t>
            </w:r>
            <w:r w:rsidR="00E01AE2">
              <w:rPr>
                <w:bCs/>
                <w:sz w:val="24"/>
                <w:szCs w:val="24"/>
              </w:rPr>
              <w:t>650</w:t>
            </w:r>
          </w:p>
        </w:tc>
      </w:tr>
    </w:tbl>
    <w:p w14:paraId="6976FA7A" w14:textId="77777777" w:rsidR="00863021" w:rsidRPr="00FC1F69" w:rsidRDefault="00863021" w:rsidP="00863021">
      <w:pPr>
        <w:spacing w:after="0"/>
        <w:rPr>
          <w:bCs/>
          <w:i/>
        </w:rPr>
      </w:pPr>
    </w:p>
    <w:p w14:paraId="14740DA3" w14:textId="7BF7453C" w:rsidR="00863021" w:rsidRPr="00FC1F69" w:rsidRDefault="00863021" w:rsidP="00863021">
      <w:pPr>
        <w:spacing w:after="0"/>
        <w:ind w:firstLine="720"/>
        <w:rPr>
          <w:bCs/>
        </w:rPr>
      </w:pPr>
      <w:r w:rsidRPr="00CC4B07">
        <w:rPr>
          <w:b/>
          <w:i/>
        </w:rPr>
        <w:t>Exemption phase-out</w:t>
      </w:r>
      <w:r w:rsidRPr="00FC1F69">
        <w:rPr>
          <w:bCs/>
          <w:i/>
        </w:rPr>
        <w:t xml:space="preserve">. </w:t>
      </w:r>
      <w:bookmarkStart w:id="10" w:name="_Hlk154324482"/>
      <w:r w:rsidRPr="00FC1F69">
        <w:rPr>
          <w:bCs/>
        </w:rPr>
        <w:t>The exemption amounts for 20</w:t>
      </w:r>
      <w:r>
        <w:rPr>
          <w:bCs/>
        </w:rPr>
        <w:t>2</w:t>
      </w:r>
      <w:r w:rsidR="00E01AE2">
        <w:rPr>
          <w:bCs/>
        </w:rPr>
        <w:t>4</w:t>
      </w:r>
      <w:r w:rsidRPr="00FC1F69">
        <w:rPr>
          <w:bCs/>
        </w:rPr>
        <w:t xml:space="preserve"> start to phase out when alternative minimum taxable income (AMTI) exceeds $1,</w:t>
      </w:r>
      <w:r w:rsidR="00E01AE2">
        <w:rPr>
          <w:bCs/>
        </w:rPr>
        <w:t>218,700</w:t>
      </w:r>
      <w:r w:rsidRPr="00FC1F69">
        <w:rPr>
          <w:bCs/>
        </w:rPr>
        <w:t xml:space="preserve"> for married filing jointly and surviving spouses and $</w:t>
      </w:r>
      <w:r w:rsidR="00E01AE2">
        <w:rPr>
          <w:bCs/>
        </w:rPr>
        <w:t>609,350</w:t>
      </w:r>
      <w:r w:rsidRPr="00FC1F69">
        <w:rPr>
          <w:bCs/>
        </w:rPr>
        <w:t xml:space="preserve"> for other filers. </w:t>
      </w:r>
    </w:p>
    <w:bookmarkEnd w:id="10"/>
    <w:p w14:paraId="433BEE99" w14:textId="77777777" w:rsidR="00863021" w:rsidRDefault="00863021" w:rsidP="00863021">
      <w:pPr>
        <w:spacing w:after="0"/>
        <w:rPr>
          <w:rFonts w:ascii="Georgia" w:hAnsi="Georgia"/>
          <w:b/>
          <w:i/>
          <w:sz w:val="30"/>
        </w:rPr>
      </w:pPr>
    </w:p>
    <w:p w14:paraId="6D3D28E3" w14:textId="77777777" w:rsidR="00863021" w:rsidRPr="00A65758" w:rsidRDefault="00863021" w:rsidP="00863021">
      <w:pPr>
        <w:spacing w:after="0"/>
        <w:rPr>
          <w:rFonts w:ascii="Georgia" w:hAnsi="Georgia"/>
          <w:b/>
          <w:i/>
          <w:sz w:val="30"/>
        </w:rPr>
      </w:pPr>
      <w:r w:rsidRPr="00A65758">
        <w:rPr>
          <w:rFonts w:ascii="Georgia" w:hAnsi="Georgia"/>
          <w:b/>
          <w:i/>
          <w:sz w:val="30"/>
        </w:rPr>
        <w:t xml:space="preserve">Chapter </w:t>
      </w:r>
      <w:r>
        <w:rPr>
          <w:rFonts w:ascii="Georgia" w:hAnsi="Georgia"/>
          <w:b/>
          <w:i/>
          <w:sz w:val="30"/>
        </w:rPr>
        <w:t>30</w:t>
      </w:r>
      <w:r w:rsidRPr="00A65758">
        <w:rPr>
          <w:rFonts w:ascii="Georgia" w:hAnsi="Georgia"/>
          <w:b/>
          <w:i/>
          <w:sz w:val="30"/>
        </w:rPr>
        <w:t>—Other Taxes</w:t>
      </w:r>
    </w:p>
    <w:p w14:paraId="5E568D57" w14:textId="17F77A06" w:rsidR="00863021" w:rsidRPr="00532EE7" w:rsidRDefault="00863021" w:rsidP="00863021">
      <w:pPr>
        <w:spacing w:after="0"/>
      </w:pPr>
      <w:r>
        <w:rPr>
          <w:b/>
          <w:i/>
        </w:rPr>
        <w:t xml:space="preserve">State income taxes. </w:t>
      </w:r>
      <w:r>
        <w:t xml:space="preserve">There have been some tax changes for businesses at the state and local levels. </w:t>
      </w:r>
      <w:r w:rsidRPr="002018A3">
        <w:t>For example, effective January 1, 20</w:t>
      </w:r>
      <w:r w:rsidR="00E01AE2">
        <w:t>24</w:t>
      </w:r>
      <w:r w:rsidRPr="002018A3">
        <w:t xml:space="preserve">, </w:t>
      </w:r>
      <w:r w:rsidR="00CC4B07">
        <w:t>6 states—Arkansas, Iowa, Kansas, Nebraska, New Jersey, and Pennsylvania—reduced their corporate tax rates</w:t>
      </w:r>
      <w:r w:rsidRPr="002018A3">
        <w:t>. Check with state tax departments in all locations in which you do business to learn if there have been any tax changes impacting your business.</w:t>
      </w:r>
    </w:p>
    <w:p w14:paraId="39792CA1" w14:textId="77777777" w:rsidR="00863021" w:rsidRDefault="00863021" w:rsidP="00863021">
      <w:pPr>
        <w:spacing w:after="0"/>
        <w:rPr>
          <w:b/>
          <w:i/>
        </w:rPr>
      </w:pPr>
    </w:p>
    <w:p w14:paraId="78B1F726" w14:textId="041091ED" w:rsidR="00863021" w:rsidRDefault="00863021" w:rsidP="00863021">
      <w:pPr>
        <w:spacing w:after="0"/>
      </w:pPr>
      <w:r>
        <w:rPr>
          <w:b/>
          <w:i/>
        </w:rPr>
        <w:t xml:space="preserve">Employment and self-employment taxes. </w:t>
      </w:r>
      <w:r>
        <w:t>The 202</w:t>
      </w:r>
      <w:r w:rsidR="00783B31">
        <w:t>4</w:t>
      </w:r>
      <w:r>
        <w:t xml:space="preserve"> wage base limit for the Social Security tax portion of FICA and self-employment tax is $16</w:t>
      </w:r>
      <w:r w:rsidR="00783B31">
        <w:t>8</w:t>
      </w:r>
      <w:r>
        <w:t>,</w:t>
      </w:r>
      <w:r w:rsidR="00783B31">
        <w:t>6</w:t>
      </w:r>
      <w:r>
        <w:t>00 (up from $</w:t>
      </w:r>
      <w:r w:rsidR="00783B31">
        <w:t>160,200</w:t>
      </w:r>
      <w:r>
        <w:t xml:space="preserve"> in 202</w:t>
      </w:r>
      <w:r w:rsidR="00783B31">
        <w:t>3</w:t>
      </w:r>
      <w:r>
        <w:t>).</w:t>
      </w:r>
    </w:p>
    <w:p w14:paraId="3CEB8394" w14:textId="77777777" w:rsidR="00783B31" w:rsidRDefault="00783B31" w:rsidP="00863021">
      <w:pPr>
        <w:spacing w:after="0"/>
      </w:pPr>
    </w:p>
    <w:p w14:paraId="19B10731" w14:textId="6BE4CF09" w:rsidR="00783B31" w:rsidRPr="00783B31" w:rsidRDefault="00783B31" w:rsidP="00863021">
      <w:pPr>
        <w:spacing w:after="0"/>
      </w:pPr>
      <w:r>
        <w:rPr>
          <w:b/>
          <w:bCs/>
          <w:i/>
          <w:iCs/>
        </w:rPr>
        <w:t xml:space="preserve">Special rules for tips. </w:t>
      </w:r>
      <w:r>
        <w:t xml:space="preserve">The proposed Service Industry Tip Compliance Agreement (SITCA) program, which the IRS proposed in 2023 to replace TRDA, TRAC, and </w:t>
      </w:r>
      <w:proofErr w:type="spellStart"/>
      <w:r>
        <w:t>EmTRAC</w:t>
      </w:r>
      <w:proofErr w:type="spellEnd"/>
      <w:r>
        <w:t xml:space="preserve"> (other tip reporting programs)</w:t>
      </w:r>
      <w:r w:rsidR="00294281">
        <w:t>,</w:t>
      </w:r>
      <w:r>
        <w:t xml:space="preserve"> has not yet been implemented. If your business is in an industry where tipping is usual (other than gaming), continue to monitor developments on this proposed program.</w:t>
      </w:r>
    </w:p>
    <w:p w14:paraId="5E6364C3" w14:textId="77777777" w:rsidR="00863021" w:rsidRDefault="00863021" w:rsidP="00863021">
      <w:pPr>
        <w:spacing w:after="0"/>
        <w:rPr>
          <w:b/>
          <w:i/>
        </w:rPr>
      </w:pPr>
      <w:r>
        <w:tab/>
      </w:r>
      <w:r>
        <w:tab/>
      </w:r>
    </w:p>
    <w:p w14:paraId="261D85B3" w14:textId="19C846D1" w:rsidR="00863021" w:rsidRDefault="00863021" w:rsidP="00863021">
      <w:pPr>
        <w:spacing w:after="0"/>
      </w:pPr>
      <w:r>
        <w:rPr>
          <w:b/>
          <w:i/>
        </w:rPr>
        <w:lastRenderedPageBreak/>
        <w:t xml:space="preserve">Sales taxes. </w:t>
      </w:r>
      <w:proofErr w:type="gramStart"/>
      <w:r>
        <w:t>A number of</w:t>
      </w:r>
      <w:proofErr w:type="gramEnd"/>
      <w:r>
        <w:t xml:space="preserve"> states have changes in sales tax rules for 202</w:t>
      </w:r>
      <w:r w:rsidR="00783B31">
        <w:t>4</w:t>
      </w:r>
      <w:r>
        <w:t>. Check with your state finance/revenue/tax division. Congress did not enact proposals that would simplify sales taxes for online sellers on sales to out-of-state customers.</w:t>
      </w:r>
    </w:p>
    <w:p w14:paraId="0B8443D6" w14:textId="77777777" w:rsidR="0073295F" w:rsidRDefault="0073295F" w:rsidP="00863021">
      <w:pPr>
        <w:spacing w:after="0"/>
      </w:pPr>
    </w:p>
    <w:p w14:paraId="4D9B79DE" w14:textId="2C076447" w:rsidR="0073295F" w:rsidRPr="0073295F" w:rsidRDefault="0073295F" w:rsidP="00863021">
      <w:pPr>
        <w:spacing w:after="0"/>
      </w:pPr>
      <w:r>
        <w:rPr>
          <w:b/>
          <w:bCs/>
          <w:i/>
          <w:iCs/>
        </w:rPr>
        <w:t xml:space="preserve">Excise taxes. </w:t>
      </w:r>
      <w:r>
        <w:t>The patient-centered outreach institute (PCORI) fee</w:t>
      </w:r>
      <w:r w:rsidR="00584C66">
        <w:t>, which applies to certain health policies and self-insured health plans,</w:t>
      </w:r>
      <w:r>
        <w:t xml:space="preserve"> is </w:t>
      </w:r>
      <w:r w:rsidR="00584C66">
        <w:t>$3.22 per covered life beginning October 1, 2023.</w:t>
      </w:r>
    </w:p>
    <w:p w14:paraId="559EFD57" w14:textId="77777777" w:rsidR="00863021" w:rsidRDefault="00863021" w:rsidP="00863021">
      <w:pPr>
        <w:spacing w:after="0"/>
        <w:rPr>
          <w:rFonts w:ascii="Georgia" w:hAnsi="Georgia"/>
          <w:b/>
          <w:i/>
          <w:sz w:val="30"/>
        </w:rPr>
      </w:pPr>
    </w:p>
    <w:p w14:paraId="4F69E03A" w14:textId="77777777" w:rsidR="00863021" w:rsidRPr="00A65758" w:rsidRDefault="00863021" w:rsidP="00863021">
      <w:pPr>
        <w:spacing w:after="0"/>
        <w:rPr>
          <w:rFonts w:ascii="Georgia" w:hAnsi="Georgia"/>
          <w:b/>
          <w:i/>
          <w:sz w:val="30"/>
        </w:rPr>
      </w:pPr>
      <w:r w:rsidRPr="00A65758">
        <w:rPr>
          <w:rFonts w:ascii="Georgia" w:hAnsi="Georgia"/>
          <w:b/>
          <w:i/>
          <w:sz w:val="30"/>
        </w:rPr>
        <w:t xml:space="preserve">Chapter </w:t>
      </w:r>
      <w:r>
        <w:rPr>
          <w:rFonts w:ascii="Georgia" w:hAnsi="Georgia"/>
          <w:b/>
          <w:i/>
          <w:sz w:val="30"/>
        </w:rPr>
        <w:t>31</w:t>
      </w:r>
      <w:r w:rsidRPr="00A65758">
        <w:rPr>
          <w:rFonts w:ascii="Georgia" w:hAnsi="Georgia"/>
          <w:b/>
          <w:i/>
          <w:sz w:val="30"/>
        </w:rPr>
        <w:t>—</w:t>
      </w:r>
      <w:r>
        <w:rPr>
          <w:rFonts w:ascii="Georgia" w:hAnsi="Georgia"/>
          <w:b/>
          <w:i/>
          <w:sz w:val="30"/>
        </w:rPr>
        <w:t>Filing Tax Returns, Paying Taxes, and Making Refund Claims</w:t>
      </w:r>
    </w:p>
    <w:p w14:paraId="2BCBE0F2" w14:textId="77777777" w:rsidR="00863021" w:rsidRDefault="00863021" w:rsidP="00863021">
      <w:pPr>
        <w:spacing w:after="0"/>
      </w:pPr>
    </w:p>
    <w:p w14:paraId="47816F84" w14:textId="77777777" w:rsidR="00863021" w:rsidRDefault="00863021" w:rsidP="00863021">
      <w:pPr>
        <w:spacing w:after="0"/>
      </w:pPr>
      <w:r>
        <w:rPr>
          <w:b/>
          <w:bCs/>
          <w:i/>
          <w:iCs/>
        </w:rPr>
        <w:t xml:space="preserve">Credit card charges. </w:t>
      </w:r>
      <w:proofErr w:type="gramStart"/>
      <w:r>
        <w:t>As yet</w:t>
      </w:r>
      <w:proofErr w:type="gramEnd"/>
      <w:r>
        <w:t>, the IRS does not accept credit card payments for taxes. Taxpayers must use an IRS-authorized credit card processor to pay taxes by credit card; there’s a convenience free charged by the processor.</w:t>
      </w:r>
    </w:p>
    <w:p w14:paraId="56623FBB" w14:textId="77777777" w:rsidR="00334744" w:rsidRDefault="00334744" w:rsidP="00863021">
      <w:pPr>
        <w:spacing w:after="0"/>
      </w:pPr>
    </w:p>
    <w:p w14:paraId="68A9C1BE" w14:textId="53A4DA38" w:rsidR="00334744" w:rsidRDefault="00334744" w:rsidP="00863021">
      <w:pPr>
        <w:spacing w:after="0"/>
      </w:pPr>
      <w:r>
        <w:rPr>
          <w:b/>
          <w:bCs/>
          <w:i/>
          <w:iCs/>
        </w:rPr>
        <w:t xml:space="preserve">Business tax accounts. </w:t>
      </w:r>
      <w:r>
        <w:t xml:space="preserve">The IRS lets sole proprietors, partners (including limited partners), and S corporation shareholders set up a </w:t>
      </w:r>
      <w:hyperlink r:id="rId19" w:history="1">
        <w:r w:rsidRPr="00CC4B07">
          <w:rPr>
            <w:rStyle w:val="Hyperlink"/>
          </w:rPr>
          <w:t>Business Tax Account</w:t>
        </w:r>
      </w:hyperlink>
      <w:r>
        <w:t xml:space="preserve"> that can be used to see the business balance due, view business tax transcripts, and more. You must register and create an account.</w:t>
      </w:r>
    </w:p>
    <w:p w14:paraId="6FF9AFB0" w14:textId="77777777" w:rsidR="00334744" w:rsidRPr="00334744" w:rsidRDefault="00334744" w:rsidP="00863021">
      <w:pPr>
        <w:spacing w:after="0"/>
      </w:pPr>
    </w:p>
    <w:p w14:paraId="4B9FFF5B" w14:textId="77777777" w:rsidR="00863021" w:rsidRPr="00707DA2" w:rsidRDefault="00863021" w:rsidP="00863021">
      <w:pPr>
        <w:spacing w:after="0"/>
      </w:pPr>
    </w:p>
    <w:p w14:paraId="54142F2F" w14:textId="77777777" w:rsidR="00863021" w:rsidRPr="00A65758" w:rsidRDefault="00863021" w:rsidP="00863021">
      <w:pPr>
        <w:spacing w:after="0"/>
        <w:rPr>
          <w:rFonts w:ascii="Georgia" w:hAnsi="Georgia"/>
          <w:b/>
          <w:i/>
          <w:sz w:val="30"/>
        </w:rPr>
      </w:pPr>
      <w:r w:rsidRPr="00A65758">
        <w:rPr>
          <w:rFonts w:ascii="Georgia" w:hAnsi="Georgia"/>
          <w:b/>
          <w:i/>
          <w:sz w:val="30"/>
        </w:rPr>
        <w:t xml:space="preserve">Chapter </w:t>
      </w:r>
      <w:r>
        <w:rPr>
          <w:rFonts w:ascii="Georgia" w:hAnsi="Georgia"/>
          <w:b/>
          <w:i/>
          <w:sz w:val="30"/>
        </w:rPr>
        <w:t>32</w:t>
      </w:r>
      <w:r w:rsidRPr="00A65758">
        <w:rPr>
          <w:rFonts w:ascii="Georgia" w:hAnsi="Georgia"/>
          <w:b/>
          <w:i/>
          <w:sz w:val="30"/>
        </w:rPr>
        <w:t>—</w:t>
      </w:r>
      <w:r>
        <w:rPr>
          <w:rFonts w:ascii="Georgia" w:hAnsi="Georgia"/>
          <w:b/>
          <w:i/>
          <w:sz w:val="30"/>
        </w:rPr>
        <w:t>Retirement and Succession Planning</w:t>
      </w:r>
    </w:p>
    <w:p w14:paraId="2562F1D9" w14:textId="27A8E20A" w:rsidR="00863021" w:rsidRDefault="00863021" w:rsidP="00863021">
      <w:pPr>
        <w:spacing w:after="0"/>
      </w:pPr>
      <w:r>
        <w:rPr>
          <w:b/>
          <w:bCs/>
          <w:i/>
          <w:iCs/>
        </w:rPr>
        <w:t>202</w:t>
      </w:r>
      <w:r w:rsidR="00E01AE2">
        <w:rPr>
          <w:b/>
          <w:bCs/>
          <w:i/>
          <w:iCs/>
        </w:rPr>
        <w:t>4</w:t>
      </w:r>
      <w:r>
        <w:rPr>
          <w:b/>
          <w:bCs/>
          <w:i/>
          <w:iCs/>
        </w:rPr>
        <w:t xml:space="preserve"> limits on earnings for those working while receiving Social Security benefits. </w:t>
      </w:r>
      <w:r>
        <w:t>There is no limit on those who have attained full retirement age. For those who receive benefits and are under full retirement age, the earnings limit in 202</w:t>
      </w:r>
      <w:r w:rsidR="00E01AE2">
        <w:t>4</w:t>
      </w:r>
      <w:r>
        <w:t xml:space="preserve"> is $1,</w:t>
      </w:r>
      <w:r w:rsidR="00E01AE2">
        <w:t>86</w:t>
      </w:r>
      <w:r>
        <w:t>0 per month ($</w:t>
      </w:r>
      <w:r w:rsidR="00E01AE2">
        <w:t>22,320</w:t>
      </w:r>
      <w:r>
        <w:t xml:space="preserve"> for the year).</w:t>
      </w:r>
    </w:p>
    <w:p w14:paraId="66DF7474" w14:textId="53FCF2E5" w:rsidR="00863021" w:rsidRDefault="00863021" w:rsidP="00CC015F">
      <w:pPr>
        <w:autoSpaceDE w:val="0"/>
        <w:autoSpaceDN w:val="0"/>
        <w:adjustRightInd w:val="0"/>
        <w:spacing w:after="0"/>
        <w:ind w:firstLine="720"/>
        <w:rPr>
          <w:rFonts w:eastAsiaTheme="minorHAnsi"/>
        </w:rPr>
      </w:pPr>
      <w:r w:rsidRPr="00AE16AC">
        <w:rPr>
          <w:rFonts w:eastAsiaTheme="minorHAnsi"/>
        </w:rPr>
        <w:t>If earnings</w:t>
      </w:r>
      <w:r>
        <w:rPr>
          <w:rFonts w:eastAsiaTheme="minorHAnsi"/>
        </w:rPr>
        <w:t xml:space="preserve"> </w:t>
      </w:r>
      <w:r w:rsidRPr="00AE16AC">
        <w:rPr>
          <w:rFonts w:eastAsiaTheme="minorHAnsi"/>
        </w:rPr>
        <w:t xml:space="preserve">exceed this limit, then benefits are reduced by $1 for each </w:t>
      </w:r>
      <w:r>
        <w:rPr>
          <w:rFonts w:eastAsiaTheme="minorHAnsi"/>
        </w:rPr>
        <w:t>$</w:t>
      </w:r>
      <w:r w:rsidRPr="00AE16AC">
        <w:rPr>
          <w:rFonts w:eastAsiaTheme="minorHAnsi"/>
        </w:rPr>
        <w:t>2 of excess</w:t>
      </w:r>
      <w:r>
        <w:rPr>
          <w:rFonts w:eastAsiaTheme="minorHAnsi"/>
        </w:rPr>
        <w:t xml:space="preserve"> </w:t>
      </w:r>
      <w:r w:rsidRPr="00AE16AC">
        <w:rPr>
          <w:rFonts w:eastAsiaTheme="minorHAnsi"/>
        </w:rPr>
        <w:t>earnings. For the year in which you reach full retirement age, the earnings</w:t>
      </w:r>
      <w:r w:rsidR="00CC015F">
        <w:rPr>
          <w:rFonts w:eastAsiaTheme="minorHAnsi"/>
        </w:rPr>
        <w:t xml:space="preserve"> </w:t>
      </w:r>
      <w:r w:rsidRPr="00AE16AC">
        <w:rPr>
          <w:rFonts w:eastAsiaTheme="minorHAnsi"/>
        </w:rPr>
        <w:t>limit is $4,</w:t>
      </w:r>
      <w:r w:rsidR="00E01AE2">
        <w:rPr>
          <w:rFonts w:eastAsiaTheme="minorHAnsi"/>
        </w:rPr>
        <w:t>96</w:t>
      </w:r>
      <w:r>
        <w:rPr>
          <w:rFonts w:eastAsiaTheme="minorHAnsi"/>
        </w:rPr>
        <w:t>0</w:t>
      </w:r>
      <w:r w:rsidRPr="00AE16AC">
        <w:rPr>
          <w:rFonts w:eastAsiaTheme="minorHAnsi"/>
        </w:rPr>
        <w:t xml:space="preserve"> per month ($</w:t>
      </w:r>
      <w:r w:rsidR="00E01AE2">
        <w:rPr>
          <w:rFonts w:eastAsiaTheme="minorHAnsi"/>
        </w:rPr>
        <w:t>59,520</w:t>
      </w:r>
      <w:r w:rsidRPr="00AE16AC">
        <w:rPr>
          <w:rFonts w:eastAsiaTheme="minorHAnsi"/>
        </w:rPr>
        <w:t xml:space="preserve"> for the year). If earnings for the month</w:t>
      </w:r>
      <w:r>
        <w:rPr>
          <w:rFonts w:eastAsiaTheme="minorHAnsi"/>
        </w:rPr>
        <w:t xml:space="preserve">s </w:t>
      </w:r>
      <w:r w:rsidRPr="00AE16AC">
        <w:rPr>
          <w:rFonts w:eastAsiaTheme="minorHAnsi"/>
        </w:rPr>
        <w:t>prior to attaining full retirement age exceed the limit, benefits are reduced</w:t>
      </w:r>
      <w:r>
        <w:rPr>
          <w:rFonts w:eastAsiaTheme="minorHAnsi"/>
        </w:rPr>
        <w:t xml:space="preserve"> </w:t>
      </w:r>
      <w:r w:rsidRPr="00AE16AC">
        <w:rPr>
          <w:rFonts w:eastAsiaTheme="minorHAnsi"/>
        </w:rPr>
        <w:t>by $1 for each $3 of excess earnings</w:t>
      </w:r>
      <w:r>
        <w:rPr>
          <w:rFonts w:eastAsiaTheme="minorHAnsi"/>
        </w:rPr>
        <w:t>.</w:t>
      </w:r>
    </w:p>
    <w:p w14:paraId="258382C0" w14:textId="77777777" w:rsidR="00863021" w:rsidRDefault="00863021" w:rsidP="00863021">
      <w:pPr>
        <w:spacing w:after="0"/>
        <w:rPr>
          <w:rFonts w:ascii="Georgia" w:hAnsi="Georgia"/>
          <w:b/>
          <w:i/>
          <w:sz w:val="30"/>
        </w:rPr>
      </w:pPr>
    </w:p>
    <w:p w14:paraId="413BB5D9" w14:textId="77777777" w:rsidR="00863021" w:rsidRDefault="00863021" w:rsidP="00863021">
      <w:pPr>
        <w:spacing w:after="0"/>
        <w:rPr>
          <w:rFonts w:ascii="Georgia" w:hAnsi="Georgia"/>
          <w:b/>
          <w:i/>
          <w:sz w:val="30"/>
        </w:rPr>
      </w:pPr>
      <w:r w:rsidRPr="00A65758">
        <w:rPr>
          <w:rFonts w:ascii="Georgia" w:hAnsi="Georgia"/>
          <w:b/>
          <w:i/>
          <w:sz w:val="30"/>
        </w:rPr>
        <w:t xml:space="preserve">Chapter </w:t>
      </w:r>
      <w:r>
        <w:rPr>
          <w:rFonts w:ascii="Georgia" w:hAnsi="Georgia"/>
          <w:b/>
          <w:i/>
          <w:sz w:val="30"/>
        </w:rPr>
        <w:t>33</w:t>
      </w:r>
      <w:r w:rsidRPr="00A65758">
        <w:rPr>
          <w:rFonts w:ascii="Georgia" w:hAnsi="Georgia"/>
          <w:b/>
          <w:i/>
          <w:sz w:val="30"/>
        </w:rPr>
        <w:t>—</w:t>
      </w:r>
      <w:r>
        <w:rPr>
          <w:rFonts w:ascii="Georgia" w:hAnsi="Georgia"/>
          <w:b/>
          <w:i/>
          <w:sz w:val="30"/>
        </w:rPr>
        <w:t>Working with CPAs and Other Tax Professionals</w:t>
      </w:r>
    </w:p>
    <w:p w14:paraId="2ABC2538" w14:textId="7A31DB47" w:rsidR="00863021" w:rsidRDefault="00863021" w:rsidP="00863021">
      <w:pPr>
        <w:autoSpaceDE w:val="0"/>
        <w:autoSpaceDN w:val="0"/>
        <w:adjustRightInd w:val="0"/>
        <w:spacing w:after="0"/>
      </w:pPr>
      <w:r>
        <w:rPr>
          <w:b/>
          <w:bCs/>
          <w:i/>
          <w:iCs/>
        </w:rPr>
        <w:t xml:space="preserve">PTINs. </w:t>
      </w:r>
      <w:r>
        <w:t>The fee charged by the IRS for a tax preparer to obtain a PTIN for the 20</w:t>
      </w:r>
      <w:r w:rsidR="00E01AE2">
        <w:t>24</w:t>
      </w:r>
      <w:r>
        <w:t xml:space="preserve"> tax season is $</w:t>
      </w:r>
      <w:r w:rsidR="00E01AE2">
        <w:t>19</w:t>
      </w:r>
      <w:r>
        <w:t>.75 (down from $</w:t>
      </w:r>
      <w:r w:rsidR="00E01AE2">
        <w:t>30.75</w:t>
      </w:r>
      <w:r>
        <w:t xml:space="preserve"> in the 202</w:t>
      </w:r>
      <w:r w:rsidR="00E01AE2">
        <w:t>3</w:t>
      </w:r>
      <w:r>
        <w:t xml:space="preserve"> filing season). It is nonrefundable.</w:t>
      </w:r>
    </w:p>
    <w:p w14:paraId="0EEC9197" w14:textId="77777777" w:rsidR="00863021" w:rsidRDefault="00863021" w:rsidP="00863021">
      <w:pPr>
        <w:autoSpaceDE w:val="0"/>
        <w:autoSpaceDN w:val="0"/>
        <w:adjustRightInd w:val="0"/>
        <w:spacing w:after="0"/>
      </w:pPr>
    </w:p>
    <w:p w14:paraId="7A01D5DD" w14:textId="7D7273F9" w:rsidR="0059069D" w:rsidRDefault="0059069D" w:rsidP="0059069D">
      <w:pPr>
        <w:spacing w:after="0"/>
        <w:rPr>
          <w:rFonts w:ascii="Georgia" w:hAnsi="Georgia"/>
          <w:b/>
          <w:i/>
          <w:sz w:val="30"/>
        </w:rPr>
      </w:pPr>
      <w:r w:rsidRPr="00A65758">
        <w:rPr>
          <w:rFonts w:ascii="Georgia" w:hAnsi="Georgia"/>
          <w:b/>
          <w:i/>
          <w:sz w:val="30"/>
        </w:rPr>
        <w:t xml:space="preserve">Chapter </w:t>
      </w:r>
      <w:r>
        <w:rPr>
          <w:rFonts w:ascii="Georgia" w:hAnsi="Georgia"/>
          <w:b/>
          <w:i/>
          <w:sz w:val="30"/>
        </w:rPr>
        <w:t>34</w:t>
      </w:r>
      <w:r w:rsidRPr="00A65758">
        <w:rPr>
          <w:rFonts w:ascii="Georgia" w:hAnsi="Georgia"/>
          <w:b/>
          <w:i/>
          <w:sz w:val="30"/>
        </w:rPr>
        <w:t>—</w:t>
      </w:r>
      <w:r>
        <w:rPr>
          <w:rFonts w:ascii="Georgia" w:hAnsi="Georgia"/>
          <w:b/>
          <w:i/>
          <w:sz w:val="30"/>
        </w:rPr>
        <w:t>Handling Audits with the IRS</w:t>
      </w:r>
    </w:p>
    <w:p w14:paraId="0B26A056" w14:textId="669F1724" w:rsidR="00F0220B" w:rsidRPr="00F0220B" w:rsidRDefault="00F0220B" w:rsidP="0059069D">
      <w:pPr>
        <w:autoSpaceDE w:val="0"/>
        <w:autoSpaceDN w:val="0"/>
        <w:adjustRightInd w:val="0"/>
        <w:spacing w:after="0"/>
      </w:pPr>
      <w:r>
        <w:rPr>
          <w:b/>
          <w:bCs/>
          <w:i/>
          <w:iCs/>
        </w:rPr>
        <w:t>P</w:t>
      </w:r>
      <w:r w:rsidR="0059069D">
        <w:rPr>
          <w:b/>
          <w:bCs/>
          <w:i/>
          <w:iCs/>
        </w:rPr>
        <w:t xml:space="preserve">re-audits. </w:t>
      </w:r>
      <w:r>
        <w:t xml:space="preserve">There has been no further information about the IRS pilot program to conduct “pre-audits” of qualified retirement plans. The program started in 2022. </w:t>
      </w:r>
    </w:p>
    <w:p w14:paraId="688CBB96" w14:textId="77777777" w:rsidR="00F0220B" w:rsidRDefault="00F0220B" w:rsidP="0059069D">
      <w:pPr>
        <w:autoSpaceDE w:val="0"/>
        <w:autoSpaceDN w:val="0"/>
        <w:adjustRightInd w:val="0"/>
        <w:spacing w:after="0"/>
        <w:rPr>
          <w:b/>
          <w:bCs/>
          <w:i/>
          <w:iCs/>
        </w:rPr>
      </w:pPr>
    </w:p>
    <w:p w14:paraId="33768987" w14:textId="5A1B391A" w:rsidR="0059069D" w:rsidRDefault="00F0220B" w:rsidP="0059069D">
      <w:pPr>
        <w:autoSpaceDE w:val="0"/>
        <w:autoSpaceDN w:val="0"/>
        <w:adjustRightInd w:val="0"/>
        <w:spacing w:after="0"/>
      </w:pPr>
      <w:r>
        <w:rPr>
          <w:b/>
          <w:bCs/>
          <w:i/>
          <w:iCs/>
        </w:rPr>
        <w:t xml:space="preserve">PTINs. </w:t>
      </w:r>
      <w:r w:rsidR="0059069D">
        <w:t>The fee charged by the IRS for a tax preparer to obtain a PTIN for the 202</w:t>
      </w:r>
      <w:r>
        <w:t>4</w:t>
      </w:r>
      <w:r w:rsidR="0059069D">
        <w:t xml:space="preserve"> tax season is $</w:t>
      </w:r>
      <w:r>
        <w:t>19</w:t>
      </w:r>
      <w:r w:rsidR="0059069D">
        <w:t>.75 (down from $</w:t>
      </w:r>
      <w:r>
        <w:t>30.75</w:t>
      </w:r>
      <w:r w:rsidR="0059069D">
        <w:t xml:space="preserve"> in the 202</w:t>
      </w:r>
      <w:r>
        <w:t>3</w:t>
      </w:r>
      <w:r w:rsidR="0059069D">
        <w:t xml:space="preserve"> filing season). It is nonrefundable.</w:t>
      </w:r>
    </w:p>
    <w:p w14:paraId="021F3C3E" w14:textId="77777777" w:rsidR="0059069D" w:rsidRDefault="0059069D" w:rsidP="00863021">
      <w:pPr>
        <w:spacing w:after="0"/>
        <w:rPr>
          <w:rFonts w:ascii="Georgia" w:hAnsi="Georgia"/>
          <w:b/>
          <w:i/>
          <w:sz w:val="30"/>
        </w:rPr>
      </w:pPr>
    </w:p>
    <w:p w14:paraId="249A02D5" w14:textId="6586DED3" w:rsidR="00863021" w:rsidRPr="00A65758" w:rsidRDefault="00863021" w:rsidP="00863021">
      <w:pPr>
        <w:spacing w:after="0"/>
        <w:rPr>
          <w:rFonts w:ascii="Georgia" w:hAnsi="Georgia"/>
          <w:b/>
          <w:i/>
          <w:sz w:val="30"/>
        </w:rPr>
      </w:pPr>
      <w:r>
        <w:rPr>
          <w:rFonts w:ascii="Georgia" w:hAnsi="Georgia"/>
          <w:b/>
          <w:i/>
          <w:sz w:val="30"/>
        </w:rPr>
        <w:lastRenderedPageBreak/>
        <w:t>Appendix A</w:t>
      </w:r>
      <w:r w:rsidRPr="00A65758">
        <w:rPr>
          <w:rFonts w:ascii="Georgia" w:hAnsi="Georgia"/>
          <w:b/>
          <w:i/>
          <w:sz w:val="30"/>
        </w:rPr>
        <w:t>—</w:t>
      </w:r>
      <w:r>
        <w:rPr>
          <w:rFonts w:ascii="Georgia" w:hAnsi="Georgia"/>
          <w:b/>
          <w:i/>
          <w:sz w:val="30"/>
        </w:rPr>
        <w:t>Information Returns</w:t>
      </w:r>
    </w:p>
    <w:p w14:paraId="1A194BCD" w14:textId="19757FAD" w:rsidR="000F1654" w:rsidRDefault="000F1654" w:rsidP="00863021">
      <w:pPr>
        <w:spacing w:after="0"/>
        <w:rPr>
          <w:bCs/>
          <w:iCs/>
        </w:rPr>
      </w:pPr>
      <w:r>
        <w:rPr>
          <w:b/>
          <w:i/>
        </w:rPr>
        <w:t xml:space="preserve">Electronic filing threshold for 2024. </w:t>
      </w:r>
      <w:r>
        <w:rPr>
          <w:bCs/>
          <w:iCs/>
        </w:rPr>
        <w:t xml:space="preserve">Businesses filing 10 or more returns must do so electronically for returns due in 2024. For example, if a </w:t>
      </w:r>
      <w:proofErr w:type="gramStart"/>
      <w:r>
        <w:rPr>
          <w:bCs/>
          <w:iCs/>
        </w:rPr>
        <w:t>business files</w:t>
      </w:r>
      <w:proofErr w:type="gramEnd"/>
      <w:r>
        <w:rPr>
          <w:bCs/>
          <w:iCs/>
        </w:rPr>
        <w:t xml:space="preserve"> 6 W-2s and 4 1099-NECs in 2024, it must do this electronically.</w:t>
      </w:r>
    </w:p>
    <w:p w14:paraId="3118D67F" w14:textId="119992F9" w:rsidR="000F1654" w:rsidRDefault="000F1654" w:rsidP="00863021">
      <w:pPr>
        <w:spacing w:after="0"/>
        <w:rPr>
          <w:bCs/>
          <w:iCs/>
        </w:rPr>
      </w:pPr>
      <w:r>
        <w:rPr>
          <w:bCs/>
          <w:iCs/>
        </w:rPr>
        <w:tab/>
        <w:t xml:space="preserve">The electronic filing requirement applies to businesses that receive cash payments over $10,000 and must file Form 8300, </w:t>
      </w:r>
      <w:r>
        <w:rPr>
          <w:bCs/>
          <w:i/>
        </w:rPr>
        <w:t xml:space="preserve">Report of Cash Payments Over $10,000. </w:t>
      </w:r>
      <w:r>
        <w:rPr>
          <w:bCs/>
          <w:iCs/>
        </w:rPr>
        <w:t xml:space="preserve">If a business files fewer than 10 information returns, it can still choose to e-file any or </w:t>
      </w:r>
      <w:proofErr w:type="gramStart"/>
      <w:r>
        <w:rPr>
          <w:bCs/>
          <w:iCs/>
        </w:rPr>
        <w:t>all of</w:t>
      </w:r>
      <w:proofErr w:type="gramEnd"/>
      <w:r>
        <w:rPr>
          <w:bCs/>
          <w:iCs/>
        </w:rPr>
        <w:t xml:space="preserve"> </w:t>
      </w:r>
      <w:r w:rsidR="00CC015F">
        <w:rPr>
          <w:bCs/>
          <w:iCs/>
        </w:rPr>
        <w:t>its</w:t>
      </w:r>
      <w:r>
        <w:rPr>
          <w:bCs/>
          <w:iCs/>
        </w:rPr>
        <w:t xml:space="preserve"> returns.</w:t>
      </w:r>
    </w:p>
    <w:p w14:paraId="47DE821A" w14:textId="7F7A049A" w:rsidR="000F1654" w:rsidRPr="000F1654" w:rsidRDefault="000F1654" w:rsidP="00863021">
      <w:pPr>
        <w:spacing w:after="0"/>
        <w:rPr>
          <w:bCs/>
          <w:iCs/>
        </w:rPr>
      </w:pPr>
      <w:r>
        <w:rPr>
          <w:bCs/>
          <w:iCs/>
        </w:rPr>
        <w:tab/>
        <w:t xml:space="preserve">A business may request a waiver from mandatory e-filing if there </w:t>
      </w:r>
      <w:r w:rsidR="00CC015F">
        <w:rPr>
          <w:bCs/>
          <w:iCs/>
        </w:rPr>
        <w:t xml:space="preserve">are </w:t>
      </w:r>
      <w:r>
        <w:rPr>
          <w:bCs/>
          <w:iCs/>
        </w:rPr>
        <w:t>undue economic hardship or religious grounds.</w:t>
      </w:r>
      <w:r w:rsidR="00636A03">
        <w:rPr>
          <w:bCs/>
          <w:iCs/>
        </w:rPr>
        <w:t xml:space="preserve"> This is done on </w:t>
      </w:r>
      <w:hyperlink r:id="rId20" w:history="1">
        <w:r w:rsidR="00636A03" w:rsidRPr="00293B73">
          <w:rPr>
            <w:rStyle w:val="Hyperlink"/>
            <w:bCs/>
            <w:iCs/>
          </w:rPr>
          <w:t xml:space="preserve">Form 8508, </w:t>
        </w:r>
        <w:r w:rsidR="00636A03" w:rsidRPr="00293B73">
          <w:rPr>
            <w:rStyle w:val="Hyperlink"/>
            <w:bCs/>
            <w:i/>
          </w:rPr>
          <w:t>Application for a Waiver from Electronic Filing of Information Returns</w:t>
        </w:r>
      </w:hyperlink>
      <w:r w:rsidR="00293B73">
        <w:rPr>
          <w:bCs/>
          <w:i/>
        </w:rPr>
        <w:t>.</w:t>
      </w:r>
    </w:p>
    <w:p w14:paraId="6BEEA1BD" w14:textId="77777777" w:rsidR="00293B73" w:rsidRDefault="00293B73" w:rsidP="00863021">
      <w:pPr>
        <w:spacing w:after="0"/>
        <w:rPr>
          <w:b/>
          <w:i/>
        </w:rPr>
      </w:pPr>
    </w:p>
    <w:p w14:paraId="1B31101B" w14:textId="7F004709" w:rsidR="00293B73" w:rsidRDefault="00293B73" w:rsidP="00293B73">
      <w:pPr>
        <w:spacing w:after="0"/>
      </w:pPr>
      <w:r>
        <w:rPr>
          <w:b/>
          <w:i/>
        </w:rPr>
        <w:t xml:space="preserve">Reporting payments for independent contractors. </w:t>
      </w:r>
      <w:r>
        <w:rPr>
          <w:b/>
          <w:bCs/>
          <w:i/>
          <w:iCs/>
        </w:rPr>
        <w:t xml:space="preserve">Caution: </w:t>
      </w:r>
      <w:r>
        <w:t>The Tax Relief for American Families and Workers Act of 2024</w:t>
      </w:r>
      <w:r w:rsidR="00CC015F">
        <w:t>, if enacted,</w:t>
      </w:r>
      <w:r>
        <w:t xml:space="preserve"> would increase the threshold for issuing Form 1099-NEC and Form 1099-MISC from the current $600 to $1,000 for payments made on or after January 1, 2024.</w:t>
      </w:r>
    </w:p>
    <w:p w14:paraId="25512623" w14:textId="44439DBF" w:rsidR="00293B73" w:rsidRPr="00293B73" w:rsidRDefault="00293B73" w:rsidP="00863021">
      <w:pPr>
        <w:spacing w:after="0"/>
        <w:rPr>
          <w:bCs/>
          <w:iCs/>
        </w:rPr>
      </w:pPr>
    </w:p>
    <w:p w14:paraId="436B68F7" w14:textId="3CBFCE11" w:rsidR="00863021" w:rsidRDefault="00863021" w:rsidP="00863021">
      <w:pPr>
        <w:spacing w:after="0"/>
        <w:rPr>
          <w:bCs/>
          <w:iCs/>
        </w:rPr>
      </w:pPr>
      <w:r w:rsidRPr="00100095">
        <w:rPr>
          <w:b/>
          <w:i/>
        </w:rPr>
        <w:t xml:space="preserve">Merchant transactions. </w:t>
      </w:r>
      <w:r w:rsidRPr="00100095">
        <w:rPr>
          <w:bCs/>
          <w:iCs/>
        </w:rPr>
        <w:t xml:space="preserve">For purposes of Form 1099-K, the threshold for processors to report merchant transactions by credit card, debit card, or electronic transfer </w:t>
      </w:r>
      <w:r w:rsidR="005242C7">
        <w:rPr>
          <w:bCs/>
          <w:iCs/>
        </w:rPr>
        <w:t xml:space="preserve">made in 2023 </w:t>
      </w:r>
      <w:r w:rsidRPr="00100095">
        <w:rPr>
          <w:bCs/>
          <w:iCs/>
        </w:rPr>
        <w:t xml:space="preserve">is </w:t>
      </w:r>
      <w:r>
        <w:rPr>
          <w:bCs/>
          <w:iCs/>
        </w:rPr>
        <w:t xml:space="preserve">still </w:t>
      </w:r>
      <w:r w:rsidR="005242C7">
        <w:rPr>
          <w:bCs/>
          <w:iCs/>
        </w:rPr>
        <w:t>more than 200 transactions totaling more than $20,000</w:t>
      </w:r>
      <w:r>
        <w:rPr>
          <w:bCs/>
          <w:iCs/>
        </w:rPr>
        <w:t xml:space="preserve">; Congress did not change this threshold. However, the IRS </w:t>
      </w:r>
      <w:r w:rsidR="005242C7">
        <w:rPr>
          <w:bCs/>
          <w:iCs/>
        </w:rPr>
        <w:t xml:space="preserve">designated reporting for 2024 transactions </w:t>
      </w:r>
      <w:r>
        <w:rPr>
          <w:bCs/>
          <w:iCs/>
        </w:rPr>
        <w:t>made 202</w:t>
      </w:r>
      <w:r w:rsidR="005242C7">
        <w:rPr>
          <w:bCs/>
          <w:iCs/>
        </w:rPr>
        <w:t>4</w:t>
      </w:r>
      <w:r>
        <w:rPr>
          <w:bCs/>
          <w:iCs/>
        </w:rPr>
        <w:t xml:space="preserve"> </w:t>
      </w:r>
      <w:r w:rsidR="005242C7">
        <w:rPr>
          <w:bCs/>
          <w:iCs/>
        </w:rPr>
        <w:t xml:space="preserve">as </w:t>
      </w:r>
      <w:r>
        <w:rPr>
          <w:bCs/>
          <w:iCs/>
        </w:rPr>
        <w:t xml:space="preserve">a “transition year,” </w:t>
      </w:r>
      <w:r w:rsidR="005242C7">
        <w:rPr>
          <w:bCs/>
          <w:iCs/>
        </w:rPr>
        <w:t>requiring reporting when transactions exceed $5,000 without regard to the number of transactions. The threshold for transactions in 2025 and later will be $600 without regard to the number of transactions unless Congress makes a change.</w:t>
      </w:r>
      <w:r w:rsidRPr="00100095">
        <w:rPr>
          <w:bCs/>
          <w:iCs/>
        </w:rPr>
        <w:t xml:space="preserve"> </w:t>
      </w:r>
    </w:p>
    <w:p w14:paraId="0AA69F6E" w14:textId="77777777" w:rsidR="00863021" w:rsidRDefault="00863021" w:rsidP="00863021">
      <w:pPr>
        <w:spacing w:after="0"/>
        <w:rPr>
          <w:rFonts w:ascii="Georgia" w:hAnsi="Georgia"/>
          <w:b/>
          <w:i/>
          <w:sz w:val="30"/>
        </w:rPr>
      </w:pPr>
    </w:p>
    <w:p w14:paraId="353EEE51" w14:textId="77777777" w:rsidR="00863021" w:rsidRPr="00A65758" w:rsidRDefault="00863021" w:rsidP="00863021">
      <w:pPr>
        <w:spacing w:after="0"/>
        <w:rPr>
          <w:rFonts w:ascii="Georgia" w:hAnsi="Georgia"/>
          <w:b/>
          <w:i/>
          <w:sz w:val="30"/>
        </w:rPr>
      </w:pPr>
      <w:r>
        <w:rPr>
          <w:rFonts w:ascii="Georgia" w:hAnsi="Georgia"/>
          <w:b/>
          <w:i/>
          <w:sz w:val="30"/>
        </w:rPr>
        <w:t>Appendix B</w:t>
      </w:r>
      <w:r w:rsidRPr="00A65758">
        <w:rPr>
          <w:rFonts w:ascii="Georgia" w:hAnsi="Georgia"/>
          <w:b/>
          <w:i/>
          <w:sz w:val="30"/>
        </w:rPr>
        <w:t>—</w:t>
      </w:r>
      <w:r>
        <w:rPr>
          <w:rFonts w:ascii="Georgia" w:hAnsi="Georgia"/>
          <w:b/>
          <w:i/>
          <w:sz w:val="30"/>
        </w:rPr>
        <w:t>Tax Penalties</w:t>
      </w:r>
    </w:p>
    <w:p w14:paraId="4A496B79" w14:textId="0C2482F1" w:rsidR="00863021" w:rsidRDefault="00F773DD" w:rsidP="00863021">
      <w:pPr>
        <w:spacing w:after="0"/>
        <w:rPr>
          <w:b/>
          <w:i/>
        </w:rPr>
      </w:pPr>
      <w:r>
        <w:t>Penalties on 2023 returns required to be filed in 2024 are listed in Appendix A on page 571</w:t>
      </w:r>
      <w:r w:rsidR="00CC015F">
        <w:t xml:space="preserve"> of this book</w:t>
      </w:r>
      <w:r>
        <w:t xml:space="preserve">. </w:t>
      </w:r>
      <w:r w:rsidR="00863021">
        <w:t>The following penalties apply to 202</w:t>
      </w:r>
      <w:r>
        <w:t>4</w:t>
      </w:r>
      <w:r w:rsidR="00863021">
        <w:t xml:space="preserve"> returns required to be filed in 202</w:t>
      </w:r>
      <w:r>
        <w:t>5</w:t>
      </w:r>
      <w:r w:rsidR="00863021">
        <w:t>:</w:t>
      </w:r>
    </w:p>
    <w:p w14:paraId="7DACD6D2" w14:textId="77777777" w:rsidR="00863021" w:rsidRDefault="00863021" w:rsidP="00863021">
      <w:pPr>
        <w:spacing w:after="0"/>
        <w:rPr>
          <w:b/>
          <w:i/>
        </w:rPr>
      </w:pPr>
    </w:p>
    <w:p w14:paraId="6ABA3CA2" w14:textId="55E25087" w:rsidR="00863021" w:rsidRDefault="00863021" w:rsidP="00863021">
      <w:pPr>
        <w:spacing w:after="0"/>
      </w:pPr>
      <w:r>
        <w:rPr>
          <w:b/>
          <w:i/>
        </w:rPr>
        <w:t xml:space="preserve">Failure to file a tax return. </w:t>
      </w:r>
      <w:r>
        <w:t>The penalty is the lesser of $</w:t>
      </w:r>
      <w:r w:rsidR="007C585B">
        <w:t>510</w:t>
      </w:r>
      <w:r>
        <w:t xml:space="preserve"> or 100% of the amount required to be shown on the return.</w:t>
      </w:r>
    </w:p>
    <w:p w14:paraId="05B506EB" w14:textId="77777777" w:rsidR="00863021" w:rsidRDefault="00863021" w:rsidP="00863021">
      <w:pPr>
        <w:spacing w:after="0"/>
        <w:rPr>
          <w:b/>
          <w:i/>
        </w:rPr>
      </w:pPr>
    </w:p>
    <w:p w14:paraId="0CD726B6" w14:textId="1455F37B" w:rsidR="00863021" w:rsidRDefault="00863021" w:rsidP="00863021">
      <w:pPr>
        <w:spacing w:after="0"/>
      </w:pPr>
      <w:r>
        <w:rPr>
          <w:b/>
          <w:i/>
        </w:rPr>
        <w:t xml:space="preserve">Failure of a partnership to file a return. </w:t>
      </w:r>
      <w:r>
        <w:t>The penalty is $2</w:t>
      </w:r>
      <w:r w:rsidR="007C585B">
        <w:t>4</w:t>
      </w:r>
      <w:r>
        <w:t>5. The penalty is per month (or part-month) that the return is late, up to a maximum of 12 months, and is multiplied by the number of partners during any part of the year.</w:t>
      </w:r>
    </w:p>
    <w:p w14:paraId="34F4D694" w14:textId="008F2DC7" w:rsidR="00863021" w:rsidRPr="00E95FDE" w:rsidRDefault="00863021" w:rsidP="00863021">
      <w:pPr>
        <w:spacing w:after="0"/>
        <w:ind w:firstLine="720"/>
      </w:pPr>
      <w:r>
        <w:t>The penalty for a failure to furnish a Schedule K-1 is $3</w:t>
      </w:r>
      <w:r w:rsidR="007C585B">
        <w:t>3</w:t>
      </w:r>
      <w:r>
        <w:t>0 for each failure, up to a maximum of $3,</w:t>
      </w:r>
      <w:r w:rsidR="007C585B">
        <w:t>987</w:t>
      </w:r>
      <w:r>
        <w:t>,000 ($1,</w:t>
      </w:r>
      <w:r w:rsidR="007C585B">
        <w:t>329</w:t>
      </w:r>
      <w:r>
        <w:t>,000 for businesses with average annual gross receipts in the 3 most recent years of $5 million or less). The penalty is increased to $6</w:t>
      </w:r>
      <w:r w:rsidR="007C585B">
        <w:t>6</w:t>
      </w:r>
      <w:r>
        <w:t xml:space="preserve">0, or, if greater, 10% of the aggregate </w:t>
      </w:r>
      <w:proofErr w:type="gramStart"/>
      <w:r>
        <w:t>amount</w:t>
      </w:r>
      <w:proofErr w:type="gramEnd"/>
      <w:r>
        <w:t xml:space="preserve"> of items required to be reported, if the failure is due to intentional disregard of the reporting requirement; there is no maximum annual limit.</w:t>
      </w:r>
    </w:p>
    <w:p w14:paraId="2FD8CA07" w14:textId="77777777" w:rsidR="00863021" w:rsidRDefault="00863021" w:rsidP="00863021">
      <w:pPr>
        <w:spacing w:after="0"/>
        <w:rPr>
          <w:b/>
          <w:i/>
        </w:rPr>
      </w:pPr>
    </w:p>
    <w:p w14:paraId="2ACB355A" w14:textId="4FEBFD90" w:rsidR="00863021" w:rsidRDefault="00863021" w:rsidP="00863021">
      <w:pPr>
        <w:spacing w:after="0"/>
      </w:pPr>
      <w:r>
        <w:rPr>
          <w:b/>
          <w:i/>
        </w:rPr>
        <w:t xml:space="preserve">Failure of an S corporation to file a return. </w:t>
      </w:r>
      <w:r>
        <w:t>The penalty is $2</w:t>
      </w:r>
      <w:r w:rsidR="007C585B">
        <w:t>4</w:t>
      </w:r>
      <w:r>
        <w:t>5</w:t>
      </w:r>
      <w:r w:rsidR="00C50A22">
        <w:t xml:space="preserve">. </w:t>
      </w:r>
      <w:r>
        <w:t>The penalty is per month (or part-month) that the return is late, up to a maximum of 12 months, and is multiplied by the number of shareholders during any part of the year.</w:t>
      </w:r>
    </w:p>
    <w:p w14:paraId="50CA8A1F" w14:textId="224E93C9" w:rsidR="00863021" w:rsidRDefault="00863021" w:rsidP="00863021">
      <w:pPr>
        <w:spacing w:after="0"/>
        <w:ind w:firstLine="720"/>
      </w:pPr>
      <w:r>
        <w:lastRenderedPageBreak/>
        <w:t>The penalty for a failure to furnish a Schedule K-1 is $</w:t>
      </w:r>
      <w:r w:rsidR="007C585B">
        <w:t>330</w:t>
      </w:r>
      <w:r>
        <w:t xml:space="preserve"> for each failure, up to a maximum of $3,</w:t>
      </w:r>
      <w:r w:rsidR="007C585B">
        <w:t>987</w:t>
      </w:r>
      <w:r>
        <w:t>,000 ($1,</w:t>
      </w:r>
      <w:r w:rsidR="007C585B">
        <w:t>329</w:t>
      </w:r>
      <w:r>
        <w:t xml:space="preserve">,000 for businesses with average annual gross receipts in the 3 most recent years of $5 million or less). The penalty is increased to $630, or, if greater, 10% of the aggregate </w:t>
      </w:r>
      <w:proofErr w:type="gramStart"/>
      <w:r>
        <w:t>amount</w:t>
      </w:r>
      <w:proofErr w:type="gramEnd"/>
      <w:r>
        <w:t xml:space="preserve"> of items required to be reported, if the failure is due to intentional disregard; there is no annual cap.</w:t>
      </w:r>
    </w:p>
    <w:p w14:paraId="755A4010" w14:textId="77777777" w:rsidR="007C585B" w:rsidRDefault="007C585B" w:rsidP="00863021">
      <w:pPr>
        <w:spacing w:after="0"/>
        <w:ind w:firstLine="720"/>
      </w:pPr>
    </w:p>
    <w:p w14:paraId="3C6A4A45" w14:textId="6D806A09" w:rsidR="007C585B" w:rsidRPr="007C585B" w:rsidRDefault="007C585B" w:rsidP="007C585B">
      <w:pPr>
        <w:spacing w:after="0"/>
        <w:rPr>
          <w:iCs/>
        </w:rPr>
      </w:pPr>
      <w:r>
        <w:rPr>
          <w:b/>
          <w:i/>
        </w:rPr>
        <w:t xml:space="preserve">Waiver of failure-to-pay penalty. </w:t>
      </w:r>
      <w:r>
        <w:rPr>
          <w:bCs/>
          <w:iCs/>
        </w:rPr>
        <w:t>The IRS waived about $1 billion in penalties for tax years 2020 and 2021 for eligible taxpayers (individuals and corporations).</w:t>
      </w:r>
      <w:r>
        <w:rPr>
          <w:bCs/>
          <w:i/>
        </w:rPr>
        <w:t xml:space="preserve"> </w:t>
      </w:r>
      <w:r>
        <w:rPr>
          <w:bCs/>
          <w:iCs/>
        </w:rPr>
        <w:t xml:space="preserve">Details of the waiver on in </w:t>
      </w:r>
      <w:hyperlink r:id="rId21" w:history="1">
        <w:r w:rsidRPr="00293B73">
          <w:rPr>
            <w:rStyle w:val="Hyperlink"/>
            <w:bCs/>
            <w:iCs/>
          </w:rPr>
          <w:t>Fact Sheet 2023-</w:t>
        </w:r>
        <w:r w:rsidR="00A02F9C" w:rsidRPr="00293B73">
          <w:rPr>
            <w:rStyle w:val="Hyperlink"/>
            <w:bCs/>
            <w:iCs/>
          </w:rPr>
          <w:t>28</w:t>
        </w:r>
      </w:hyperlink>
      <w:r>
        <w:rPr>
          <w:bCs/>
          <w:iCs/>
        </w:rPr>
        <w:t>.</w:t>
      </w:r>
    </w:p>
    <w:p w14:paraId="0521AB98" w14:textId="77777777" w:rsidR="00863021" w:rsidRDefault="00863021" w:rsidP="00863021">
      <w:pPr>
        <w:spacing w:after="0"/>
        <w:rPr>
          <w:b/>
          <w:i/>
        </w:rPr>
      </w:pPr>
    </w:p>
    <w:p w14:paraId="77C0A202" w14:textId="29187728" w:rsidR="00863021" w:rsidRPr="00A65758" w:rsidRDefault="00863021" w:rsidP="00863021">
      <w:pPr>
        <w:spacing w:after="0"/>
        <w:rPr>
          <w:rFonts w:ascii="Georgia" w:hAnsi="Georgia"/>
          <w:b/>
          <w:i/>
          <w:sz w:val="30"/>
        </w:rPr>
      </w:pPr>
      <w:r>
        <w:rPr>
          <w:rFonts w:ascii="Georgia" w:hAnsi="Georgia"/>
          <w:b/>
          <w:i/>
          <w:sz w:val="30"/>
        </w:rPr>
        <w:t xml:space="preserve">Appendix </w:t>
      </w:r>
      <w:r w:rsidR="00334744">
        <w:rPr>
          <w:rFonts w:ascii="Georgia" w:hAnsi="Georgia"/>
          <w:b/>
          <w:i/>
          <w:sz w:val="30"/>
        </w:rPr>
        <w:t>C</w:t>
      </w:r>
      <w:r w:rsidRPr="00A65758">
        <w:rPr>
          <w:rFonts w:ascii="Georgia" w:hAnsi="Georgia"/>
          <w:b/>
          <w:i/>
          <w:sz w:val="30"/>
        </w:rPr>
        <w:t>—</w:t>
      </w:r>
      <w:r>
        <w:rPr>
          <w:rFonts w:ascii="Georgia" w:hAnsi="Georgia"/>
          <w:b/>
          <w:i/>
          <w:sz w:val="30"/>
        </w:rPr>
        <w:t>Dollar Limits and Amounts Adjusted for Inflation</w:t>
      </w:r>
    </w:p>
    <w:p w14:paraId="341424FB" w14:textId="5CD76D89" w:rsidR="00863021" w:rsidRDefault="00863021" w:rsidP="00863021">
      <w:pPr>
        <w:spacing w:after="0"/>
      </w:pPr>
      <w:r>
        <w:rPr>
          <w:b/>
        </w:rPr>
        <w:t xml:space="preserve">Items Adjusted Annually for Inflation. </w:t>
      </w:r>
      <w:r>
        <w:t>The following adjustments apply for 202</w:t>
      </w:r>
      <w:r w:rsidR="00F773DD">
        <w:t>4</w:t>
      </w:r>
      <w:r>
        <w:t xml:space="preserve"> (and do not factor into the preparation of 202</w:t>
      </w:r>
      <w:r w:rsidR="00F773DD">
        <w:t>3</w:t>
      </w:r>
      <w:r>
        <w:t xml:space="preserve"> returns). </w:t>
      </w:r>
    </w:p>
    <w:p w14:paraId="03DB8D93" w14:textId="77777777" w:rsidR="00863021" w:rsidRPr="00EE014F" w:rsidRDefault="00863021" w:rsidP="00863021">
      <w:pPr>
        <w:spacing w:after="0"/>
      </w:pPr>
    </w:p>
    <w:p w14:paraId="18D2F275" w14:textId="77777777" w:rsidR="00863021" w:rsidRPr="00EE014F" w:rsidRDefault="00863021" w:rsidP="00863021">
      <w:pPr>
        <w:autoSpaceDE w:val="0"/>
        <w:autoSpaceDN w:val="0"/>
        <w:adjustRightInd w:val="0"/>
        <w:spacing w:after="0"/>
        <w:ind w:left="720"/>
        <w:rPr>
          <w:rFonts w:eastAsiaTheme="minorHAnsi"/>
        </w:rPr>
      </w:pPr>
      <w:r>
        <w:rPr>
          <w:b/>
          <w:i/>
        </w:rPr>
        <w:t>Adoption assistance</w:t>
      </w:r>
      <w:r w:rsidRPr="0061127F">
        <w:rPr>
          <w:rFonts w:eastAsiaTheme="minorHAnsi"/>
          <w:bCs/>
          <w:iCs/>
        </w:rPr>
        <w:t>—</w:t>
      </w:r>
      <w:r w:rsidRPr="00EE014F">
        <w:t>e</w:t>
      </w:r>
      <w:r w:rsidRPr="00EE014F">
        <w:rPr>
          <w:rFonts w:eastAsiaTheme="minorHAnsi"/>
        </w:rPr>
        <w:t>xcludable employer-provided adoption assistance</w:t>
      </w:r>
    </w:p>
    <w:p w14:paraId="6FAC32DD" w14:textId="54CC9DF1" w:rsidR="00863021" w:rsidRPr="00EE014F" w:rsidRDefault="00863021" w:rsidP="00863021">
      <w:pPr>
        <w:spacing w:after="0"/>
        <w:ind w:left="720"/>
        <w:rPr>
          <w:b/>
          <w:i/>
        </w:rPr>
      </w:pPr>
      <w:r w:rsidRPr="00EE014F">
        <w:rPr>
          <w:rFonts w:eastAsiaTheme="minorHAnsi"/>
        </w:rPr>
        <w:t>for employees ($</w:t>
      </w:r>
      <w:r w:rsidR="00A02F9C">
        <w:rPr>
          <w:rFonts w:eastAsiaTheme="minorHAnsi"/>
        </w:rPr>
        <w:t>16,810</w:t>
      </w:r>
      <w:r w:rsidRPr="00EE014F">
        <w:rPr>
          <w:rFonts w:eastAsiaTheme="minorHAnsi"/>
        </w:rPr>
        <w:t xml:space="preserve"> for 20</w:t>
      </w:r>
      <w:r>
        <w:rPr>
          <w:rFonts w:eastAsiaTheme="minorHAnsi"/>
        </w:rPr>
        <w:t>2</w:t>
      </w:r>
      <w:r w:rsidR="00A02F9C">
        <w:rPr>
          <w:rFonts w:eastAsiaTheme="minorHAnsi"/>
        </w:rPr>
        <w:t>4</w:t>
      </w:r>
      <w:r w:rsidRPr="00EE014F">
        <w:rPr>
          <w:rFonts w:eastAsiaTheme="minorHAnsi"/>
        </w:rPr>
        <w:t>).</w:t>
      </w:r>
      <w:r w:rsidRPr="00EE014F">
        <w:rPr>
          <w:b/>
          <w:i/>
        </w:rPr>
        <w:t xml:space="preserve"> </w:t>
      </w:r>
    </w:p>
    <w:p w14:paraId="3C28499D" w14:textId="77777777" w:rsidR="00863021" w:rsidRDefault="00863021" w:rsidP="00863021">
      <w:pPr>
        <w:spacing w:after="0"/>
        <w:ind w:left="720"/>
        <w:rPr>
          <w:b/>
          <w:i/>
        </w:rPr>
      </w:pPr>
    </w:p>
    <w:p w14:paraId="709CD34A" w14:textId="2FE77F53" w:rsidR="00863021" w:rsidRPr="004B238D" w:rsidRDefault="00863021" w:rsidP="00863021">
      <w:pPr>
        <w:spacing w:after="0"/>
        <w:ind w:left="720"/>
      </w:pPr>
      <w:r>
        <w:rPr>
          <w:b/>
          <w:i/>
        </w:rPr>
        <w:t>Cash method of accounting</w:t>
      </w:r>
      <w:r w:rsidRPr="0061127F">
        <w:rPr>
          <w:rFonts w:eastAsiaTheme="minorHAnsi"/>
          <w:bCs/>
          <w:iCs/>
        </w:rPr>
        <w:t>—</w:t>
      </w:r>
      <w:r>
        <w:t>the gross receipts test for eligibility of C corporations and partnerships with C corporation partners to use the cash method of accounting is average annual gross receipts in the 3 prior years not exceeding a set amount ($</w:t>
      </w:r>
      <w:r w:rsidR="00A02F9C">
        <w:t>30</w:t>
      </w:r>
      <w:r>
        <w:t xml:space="preserve"> million in 202</w:t>
      </w:r>
      <w:r w:rsidR="00A02F9C">
        <w:t>4</w:t>
      </w:r>
      <w:r>
        <w:t>).</w:t>
      </w:r>
    </w:p>
    <w:p w14:paraId="4B62B41F" w14:textId="77777777" w:rsidR="00863021" w:rsidRDefault="00863021" w:rsidP="00863021">
      <w:pPr>
        <w:spacing w:after="0"/>
        <w:ind w:left="720"/>
        <w:rPr>
          <w:b/>
          <w:i/>
        </w:rPr>
      </w:pPr>
    </w:p>
    <w:p w14:paraId="24A4D504" w14:textId="39617734" w:rsidR="00863021" w:rsidRPr="00AE12CC" w:rsidRDefault="00863021" w:rsidP="00863021">
      <w:pPr>
        <w:spacing w:after="0"/>
        <w:ind w:left="720"/>
        <w:rPr>
          <w:bCs/>
          <w:iCs/>
        </w:rPr>
      </w:pPr>
      <w:r>
        <w:rPr>
          <w:b/>
          <w:i/>
        </w:rPr>
        <w:t xml:space="preserve">Energy-efficient commercial buildings. </w:t>
      </w:r>
      <w:r>
        <w:rPr>
          <w:bCs/>
          <w:iCs/>
        </w:rPr>
        <w:t>The deduction for 202</w:t>
      </w:r>
      <w:r w:rsidR="00A02F9C">
        <w:rPr>
          <w:bCs/>
          <w:iCs/>
        </w:rPr>
        <w:t>4</w:t>
      </w:r>
      <w:r>
        <w:rPr>
          <w:bCs/>
          <w:iCs/>
        </w:rPr>
        <w:t xml:space="preserve"> is up to $5</w:t>
      </w:r>
      <w:r w:rsidR="00A02F9C">
        <w:rPr>
          <w:bCs/>
          <w:iCs/>
        </w:rPr>
        <w:t>.65</w:t>
      </w:r>
      <w:r>
        <w:rPr>
          <w:bCs/>
          <w:iCs/>
        </w:rPr>
        <w:t xml:space="preserve"> per square foot</w:t>
      </w:r>
      <w:r w:rsidR="00A02F9C">
        <w:rPr>
          <w:bCs/>
          <w:iCs/>
        </w:rPr>
        <w:t>, depending on energy reduction and whether the wage and apprenticeship requirements are met</w:t>
      </w:r>
      <w:r>
        <w:rPr>
          <w:bCs/>
          <w:iCs/>
        </w:rPr>
        <w:t xml:space="preserve">. </w:t>
      </w:r>
    </w:p>
    <w:p w14:paraId="628CC66E" w14:textId="77777777" w:rsidR="00863021" w:rsidRPr="00AE12CC" w:rsidRDefault="00863021" w:rsidP="00863021">
      <w:pPr>
        <w:spacing w:after="0"/>
        <w:ind w:left="720"/>
        <w:rPr>
          <w:bCs/>
          <w:iCs/>
        </w:rPr>
      </w:pPr>
    </w:p>
    <w:p w14:paraId="4DA54AD8" w14:textId="447DC286" w:rsidR="00863021" w:rsidRPr="00C825D8" w:rsidRDefault="00863021" w:rsidP="00863021">
      <w:pPr>
        <w:spacing w:after="0"/>
        <w:ind w:left="720"/>
      </w:pPr>
      <w:r>
        <w:rPr>
          <w:b/>
          <w:i/>
        </w:rPr>
        <w:t>Excess business losses for noncorporate taxpayers</w:t>
      </w:r>
      <w:r>
        <w:t>—the threshold used in determining whether an owner of a pass-through entity has such losses is capped on their personal returns at a set amount ($</w:t>
      </w:r>
      <w:r w:rsidR="00A02F9C">
        <w:t>610</w:t>
      </w:r>
      <w:r>
        <w:t>,000</w:t>
      </w:r>
      <w:r w:rsidRPr="008F393E">
        <w:t xml:space="preserve"> for joint filers and $</w:t>
      </w:r>
      <w:r w:rsidR="00A02F9C">
        <w:t>305</w:t>
      </w:r>
      <w:r w:rsidRPr="008F393E">
        <w:t>,000</w:t>
      </w:r>
      <w:r>
        <w:t xml:space="preserve"> for other filers in 202</w:t>
      </w:r>
      <w:r w:rsidR="00A02F9C">
        <w:t>4</w:t>
      </w:r>
      <w:r>
        <w:t>).</w:t>
      </w:r>
    </w:p>
    <w:p w14:paraId="593514FD" w14:textId="77777777" w:rsidR="00863021" w:rsidRDefault="00863021" w:rsidP="00863021">
      <w:pPr>
        <w:spacing w:after="0"/>
        <w:ind w:left="720"/>
        <w:rPr>
          <w:b/>
          <w:i/>
        </w:rPr>
      </w:pPr>
    </w:p>
    <w:p w14:paraId="6473038D" w14:textId="23AE108C" w:rsidR="00863021" w:rsidRDefault="00863021" w:rsidP="00863021">
      <w:pPr>
        <w:spacing w:after="0"/>
        <w:ind w:left="720"/>
        <w:rPr>
          <w:rFonts w:eastAsiaTheme="minorHAnsi"/>
        </w:rPr>
      </w:pPr>
      <w:r>
        <w:rPr>
          <w:b/>
          <w:i/>
        </w:rPr>
        <w:t>First-year expensing (Sec. 179 deduction)</w:t>
      </w:r>
      <w:r w:rsidRPr="0061127F">
        <w:rPr>
          <w:rFonts w:eastAsiaTheme="minorHAnsi"/>
          <w:bCs/>
          <w:iCs/>
        </w:rPr>
        <w:t>—</w:t>
      </w:r>
      <w:r w:rsidRPr="00EE014F">
        <w:rPr>
          <w:rFonts w:eastAsiaTheme="minorHAnsi"/>
        </w:rPr>
        <w:t>the dollar limit on the deduction,</w:t>
      </w:r>
      <w:r>
        <w:rPr>
          <w:rFonts w:eastAsiaTheme="minorHAnsi"/>
        </w:rPr>
        <w:t xml:space="preserve"> </w:t>
      </w:r>
      <w:r w:rsidRPr="00EE014F">
        <w:rPr>
          <w:rFonts w:eastAsiaTheme="minorHAnsi"/>
        </w:rPr>
        <w:t xml:space="preserve">as well as the phase-out </w:t>
      </w:r>
      <w:r>
        <w:rPr>
          <w:rFonts w:eastAsiaTheme="minorHAnsi"/>
        </w:rPr>
        <w:t xml:space="preserve">threshold </w:t>
      </w:r>
      <w:r w:rsidRPr="00EE014F">
        <w:rPr>
          <w:rFonts w:eastAsiaTheme="minorHAnsi"/>
        </w:rPr>
        <w:t>on property placed in service</w:t>
      </w:r>
      <w:r>
        <w:rPr>
          <w:rFonts w:eastAsiaTheme="minorHAnsi"/>
        </w:rPr>
        <w:t xml:space="preserve"> for </w:t>
      </w:r>
      <w:r w:rsidRPr="00EE014F">
        <w:rPr>
          <w:rFonts w:eastAsiaTheme="minorHAnsi"/>
        </w:rPr>
        <w:t>20</w:t>
      </w:r>
      <w:r>
        <w:rPr>
          <w:rFonts w:eastAsiaTheme="minorHAnsi"/>
        </w:rPr>
        <w:t>2</w:t>
      </w:r>
      <w:r w:rsidR="00A02F9C">
        <w:rPr>
          <w:rFonts w:eastAsiaTheme="minorHAnsi"/>
        </w:rPr>
        <w:t>4</w:t>
      </w:r>
      <w:r w:rsidRPr="00EE014F">
        <w:rPr>
          <w:rFonts w:eastAsiaTheme="minorHAnsi"/>
        </w:rPr>
        <w:t xml:space="preserve"> are $</w:t>
      </w:r>
      <w:r>
        <w:rPr>
          <w:rFonts w:eastAsiaTheme="minorHAnsi"/>
        </w:rPr>
        <w:t>1,</w:t>
      </w:r>
      <w:r w:rsidR="00A02F9C">
        <w:rPr>
          <w:rFonts w:eastAsiaTheme="minorHAnsi"/>
        </w:rPr>
        <w:t>220</w:t>
      </w:r>
      <w:r>
        <w:rPr>
          <w:rFonts w:eastAsiaTheme="minorHAnsi"/>
        </w:rPr>
        <w:t xml:space="preserve">,000 </w:t>
      </w:r>
      <w:r w:rsidRPr="00EE014F">
        <w:rPr>
          <w:rFonts w:eastAsiaTheme="minorHAnsi"/>
        </w:rPr>
        <w:t>and $</w:t>
      </w:r>
      <w:r w:rsidR="00A02F9C">
        <w:rPr>
          <w:rFonts w:eastAsiaTheme="minorHAnsi"/>
        </w:rPr>
        <w:t>3,050</w:t>
      </w:r>
      <w:r>
        <w:rPr>
          <w:rFonts w:eastAsiaTheme="minorHAnsi"/>
        </w:rPr>
        <w:t>,000</w:t>
      </w:r>
      <w:r w:rsidRPr="00EE014F">
        <w:rPr>
          <w:rFonts w:eastAsiaTheme="minorHAnsi"/>
        </w:rPr>
        <w:t>, respectively</w:t>
      </w:r>
      <w:r>
        <w:rPr>
          <w:rFonts w:eastAsiaTheme="minorHAnsi"/>
        </w:rPr>
        <w:t>.</w:t>
      </w:r>
    </w:p>
    <w:p w14:paraId="2B5C29AA" w14:textId="77777777" w:rsidR="00863021" w:rsidRDefault="00863021" w:rsidP="00863021">
      <w:pPr>
        <w:autoSpaceDE w:val="0"/>
        <w:autoSpaceDN w:val="0"/>
        <w:adjustRightInd w:val="0"/>
        <w:spacing w:after="0"/>
        <w:ind w:left="720"/>
        <w:rPr>
          <w:rFonts w:eastAsiaTheme="minorHAnsi"/>
          <w:b/>
          <w:bCs/>
          <w:i/>
          <w:iCs/>
        </w:rPr>
      </w:pPr>
    </w:p>
    <w:p w14:paraId="09B738C0" w14:textId="090DE41E" w:rsidR="00863021" w:rsidRPr="004B238D" w:rsidRDefault="00863021" w:rsidP="00863021">
      <w:pPr>
        <w:autoSpaceDE w:val="0"/>
        <w:autoSpaceDN w:val="0"/>
        <w:adjustRightInd w:val="0"/>
        <w:spacing w:after="0"/>
        <w:ind w:left="720"/>
        <w:rPr>
          <w:rFonts w:eastAsiaTheme="minorHAnsi"/>
          <w:bCs/>
          <w:iCs/>
        </w:rPr>
      </w:pPr>
      <w:r>
        <w:rPr>
          <w:rFonts w:eastAsiaTheme="minorHAnsi"/>
          <w:b/>
          <w:bCs/>
          <w:i/>
          <w:iCs/>
        </w:rPr>
        <w:t>Foreign earned income exclusion</w:t>
      </w:r>
      <w:r>
        <w:rPr>
          <w:rFonts w:eastAsiaTheme="minorHAnsi"/>
          <w:bCs/>
          <w:iCs/>
        </w:rPr>
        <w:t xml:space="preserve">—the </w:t>
      </w:r>
      <w:proofErr w:type="gramStart"/>
      <w:r>
        <w:rPr>
          <w:rFonts w:eastAsiaTheme="minorHAnsi"/>
          <w:bCs/>
          <w:iCs/>
        </w:rPr>
        <w:t>amount</w:t>
      </w:r>
      <w:proofErr w:type="gramEnd"/>
      <w:r>
        <w:rPr>
          <w:rFonts w:eastAsiaTheme="minorHAnsi"/>
          <w:bCs/>
          <w:iCs/>
        </w:rPr>
        <w:t xml:space="preserve"> of wages or self-employment income earned abroad eligible for the exclusion is limited ($</w:t>
      </w:r>
      <w:r w:rsidR="002776D6">
        <w:rPr>
          <w:rFonts w:eastAsiaTheme="minorHAnsi"/>
          <w:bCs/>
          <w:iCs/>
        </w:rPr>
        <w:t>126,500</w:t>
      </w:r>
      <w:r>
        <w:rPr>
          <w:rFonts w:eastAsiaTheme="minorHAnsi"/>
          <w:bCs/>
          <w:iCs/>
        </w:rPr>
        <w:t xml:space="preserve"> in 202</w:t>
      </w:r>
      <w:r w:rsidR="00A02F9C">
        <w:rPr>
          <w:rFonts w:eastAsiaTheme="minorHAnsi"/>
          <w:bCs/>
          <w:iCs/>
        </w:rPr>
        <w:t>4</w:t>
      </w:r>
      <w:r>
        <w:rPr>
          <w:rFonts w:eastAsiaTheme="minorHAnsi"/>
          <w:bCs/>
          <w:iCs/>
        </w:rPr>
        <w:t>).</w:t>
      </w:r>
    </w:p>
    <w:p w14:paraId="5508D6FF" w14:textId="77777777" w:rsidR="00863021" w:rsidRDefault="00863021" w:rsidP="00863021">
      <w:pPr>
        <w:autoSpaceDE w:val="0"/>
        <w:autoSpaceDN w:val="0"/>
        <w:adjustRightInd w:val="0"/>
        <w:spacing w:after="0"/>
        <w:ind w:left="720"/>
        <w:rPr>
          <w:rFonts w:eastAsiaTheme="minorHAnsi"/>
          <w:b/>
          <w:bCs/>
          <w:i/>
          <w:iCs/>
        </w:rPr>
      </w:pPr>
    </w:p>
    <w:p w14:paraId="4F2CC5C9" w14:textId="4E904B7B" w:rsidR="00863021" w:rsidRDefault="00863021" w:rsidP="00863021">
      <w:pPr>
        <w:autoSpaceDE w:val="0"/>
        <w:autoSpaceDN w:val="0"/>
        <w:adjustRightInd w:val="0"/>
        <w:spacing w:after="0"/>
        <w:ind w:left="720"/>
        <w:rPr>
          <w:rFonts w:eastAsiaTheme="minorHAnsi"/>
        </w:rPr>
      </w:pPr>
      <w:r w:rsidRPr="00EE014F">
        <w:rPr>
          <w:rFonts w:eastAsiaTheme="minorHAnsi"/>
          <w:b/>
          <w:bCs/>
          <w:i/>
          <w:iCs/>
        </w:rPr>
        <w:t>Medical flexible spending accounts (FSAs)</w:t>
      </w:r>
      <w:r w:rsidRPr="0061127F">
        <w:rPr>
          <w:rFonts w:eastAsiaTheme="minorHAnsi"/>
          <w:bCs/>
          <w:iCs/>
        </w:rPr>
        <w:t>—</w:t>
      </w:r>
      <w:r w:rsidRPr="00EE014F">
        <w:rPr>
          <w:rFonts w:eastAsiaTheme="minorHAnsi"/>
        </w:rPr>
        <w:t>the most that employees can</w:t>
      </w:r>
      <w:r>
        <w:rPr>
          <w:rFonts w:eastAsiaTheme="minorHAnsi"/>
        </w:rPr>
        <w:t xml:space="preserve"> </w:t>
      </w:r>
      <w:r w:rsidRPr="00EE014F">
        <w:rPr>
          <w:rFonts w:eastAsiaTheme="minorHAnsi"/>
        </w:rPr>
        <w:t>add annually on a pretax basis is capped at $</w:t>
      </w:r>
      <w:r>
        <w:rPr>
          <w:rFonts w:eastAsiaTheme="minorHAnsi"/>
        </w:rPr>
        <w:t>3,</w:t>
      </w:r>
      <w:r w:rsidR="002776D6">
        <w:rPr>
          <w:rFonts w:eastAsiaTheme="minorHAnsi"/>
        </w:rPr>
        <w:t>200</w:t>
      </w:r>
      <w:r w:rsidRPr="00EE014F">
        <w:rPr>
          <w:rFonts w:eastAsiaTheme="minorHAnsi"/>
        </w:rPr>
        <w:t xml:space="preserve"> for 20</w:t>
      </w:r>
      <w:r>
        <w:rPr>
          <w:rFonts w:eastAsiaTheme="minorHAnsi"/>
        </w:rPr>
        <w:t>2</w:t>
      </w:r>
      <w:r w:rsidR="002776D6">
        <w:rPr>
          <w:rFonts w:eastAsiaTheme="minorHAnsi"/>
        </w:rPr>
        <w:t>4</w:t>
      </w:r>
      <w:r w:rsidRPr="00EE014F">
        <w:rPr>
          <w:rFonts w:eastAsiaTheme="minorHAnsi"/>
        </w:rPr>
        <w:t>.</w:t>
      </w:r>
    </w:p>
    <w:p w14:paraId="03AC7EFF" w14:textId="77777777" w:rsidR="00863021" w:rsidRDefault="00863021" w:rsidP="00863021">
      <w:pPr>
        <w:autoSpaceDE w:val="0"/>
        <w:autoSpaceDN w:val="0"/>
        <w:adjustRightInd w:val="0"/>
        <w:spacing w:after="0"/>
        <w:ind w:left="720"/>
        <w:rPr>
          <w:rFonts w:eastAsiaTheme="minorHAnsi"/>
          <w:b/>
          <w:bCs/>
          <w:i/>
          <w:iCs/>
        </w:rPr>
      </w:pPr>
    </w:p>
    <w:p w14:paraId="0B90C159" w14:textId="791CC952" w:rsidR="00863021" w:rsidRDefault="00863021" w:rsidP="00863021">
      <w:pPr>
        <w:autoSpaceDE w:val="0"/>
        <w:autoSpaceDN w:val="0"/>
        <w:adjustRightInd w:val="0"/>
        <w:spacing w:after="0"/>
        <w:ind w:left="720"/>
        <w:rPr>
          <w:rFonts w:eastAsiaTheme="minorHAnsi"/>
          <w:bCs/>
          <w:iCs/>
        </w:rPr>
      </w:pPr>
      <w:r>
        <w:rPr>
          <w:rFonts w:eastAsiaTheme="minorHAnsi"/>
          <w:b/>
          <w:bCs/>
          <w:i/>
          <w:iCs/>
        </w:rPr>
        <w:t>Qualified business income deduction</w:t>
      </w:r>
      <w:r w:rsidRPr="0061127F">
        <w:rPr>
          <w:rFonts w:eastAsiaTheme="minorHAnsi"/>
          <w:bCs/>
          <w:iCs/>
        </w:rPr>
        <w:t>—</w:t>
      </w:r>
      <w:r>
        <w:rPr>
          <w:rFonts w:eastAsiaTheme="minorHAnsi"/>
          <w:bCs/>
          <w:iCs/>
        </w:rPr>
        <w:t>the taxable income limit for the 20% deduction before application of a formula is required (and a phase-out for owners in specified service trades or businesses) is $</w:t>
      </w:r>
      <w:r w:rsidR="00A02F9C">
        <w:rPr>
          <w:rFonts w:eastAsiaTheme="minorHAnsi"/>
          <w:bCs/>
          <w:iCs/>
        </w:rPr>
        <w:t>383,900</w:t>
      </w:r>
      <w:r w:rsidRPr="008F393E">
        <w:rPr>
          <w:rFonts w:eastAsiaTheme="minorHAnsi"/>
          <w:bCs/>
          <w:iCs/>
        </w:rPr>
        <w:t xml:space="preserve"> on joint returns</w:t>
      </w:r>
      <w:r>
        <w:rPr>
          <w:rFonts w:eastAsiaTheme="minorHAnsi"/>
          <w:bCs/>
          <w:iCs/>
        </w:rPr>
        <w:t xml:space="preserve"> </w:t>
      </w:r>
      <w:r w:rsidRPr="008F393E">
        <w:rPr>
          <w:rFonts w:eastAsiaTheme="minorHAnsi"/>
          <w:bCs/>
          <w:iCs/>
        </w:rPr>
        <w:t>and $</w:t>
      </w:r>
      <w:r w:rsidR="00A02F9C">
        <w:rPr>
          <w:rFonts w:eastAsiaTheme="minorHAnsi"/>
          <w:bCs/>
          <w:iCs/>
        </w:rPr>
        <w:t>191,950</w:t>
      </w:r>
      <w:r>
        <w:rPr>
          <w:rFonts w:eastAsiaTheme="minorHAnsi"/>
          <w:bCs/>
          <w:iCs/>
        </w:rPr>
        <w:t xml:space="preserve"> for other filers in 20</w:t>
      </w:r>
      <w:r w:rsidR="00A02F9C">
        <w:rPr>
          <w:rFonts w:eastAsiaTheme="minorHAnsi"/>
          <w:bCs/>
          <w:iCs/>
        </w:rPr>
        <w:t>24</w:t>
      </w:r>
      <w:r>
        <w:rPr>
          <w:rFonts w:eastAsiaTheme="minorHAnsi"/>
          <w:bCs/>
          <w:iCs/>
        </w:rPr>
        <w:t>.</w:t>
      </w:r>
    </w:p>
    <w:p w14:paraId="4B563C76" w14:textId="77777777" w:rsidR="00863021" w:rsidRPr="00C825D8" w:rsidRDefault="00863021" w:rsidP="00863021">
      <w:pPr>
        <w:autoSpaceDE w:val="0"/>
        <w:autoSpaceDN w:val="0"/>
        <w:adjustRightInd w:val="0"/>
        <w:spacing w:after="0"/>
        <w:ind w:left="720"/>
        <w:rPr>
          <w:rFonts w:eastAsiaTheme="minorHAnsi"/>
          <w:bCs/>
          <w:iCs/>
        </w:rPr>
      </w:pPr>
    </w:p>
    <w:p w14:paraId="465A5F7F" w14:textId="666E227A" w:rsidR="00863021" w:rsidRPr="00EE014F" w:rsidRDefault="00863021" w:rsidP="00863021">
      <w:pPr>
        <w:autoSpaceDE w:val="0"/>
        <w:autoSpaceDN w:val="0"/>
        <w:adjustRightInd w:val="0"/>
        <w:spacing w:after="0"/>
        <w:ind w:left="720"/>
        <w:rPr>
          <w:rFonts w:eastAsiaTheme="minorHAnsi"/>
        </w:rPr>
      </w:pPr>
      <w:r w:rsidRPr="00EE014F">
        <w:rPr>
          <w:rFonts w:eastAsiaTheme="minorHAnsi"/>
          <w:b/>
          <w:bCs/>
          <w:i/>
          <w:iCs/>
        </w:rPr>
        <w:t>Small employer health insurance credit</w:t>
      </w:r>
      <w:r w:rsidRPr="0061127F">
        <w:rPr>
          <w:rFonts w:eastAsiaTheme="minorHAnsi"/>
          <w:bCs/>
          <w:iCs/>
        </w:rPr>
        <w:t>—</w:t>
      </w:r>
      <w:r w:rsidRPr="00EE014F">
        <w:rPr>
          <w:rFonts w:eastAsiaTheme="minorHAnsi"/>
        </w:rPr>
        <w:t>the amount of average compensation,</w:t>
      </w:r>
      <w:r>
        <w:rPr>
          <w:rFonts w:eastAsiaTheme="minorHAnsi"/>
        </w:rPr>
        <w:t xml:space="preserve"> </w:t>
      </w:r>
      <w:r w:rsidRPr="00EE014F">
        <w:rPr>
          <w:rFonts w:eastAsiaTheme="minorHAnsi"/>
        </w:rPr>
        <w:t>originally fixed at $</w:t>
      </w:r>
      <w:r w:rsidRPr="008F393E">
        <w:rPr>
          <w:rFonts w:eastAsiaTheme="minorHAnsi"/>
        </w:rPr>
        <w:t>25,000, is $</w:t>
      </w:r>
      <w:r w:rsidR="002776D6">
        <w:rPr>
          <w:rFonts w:eastAsiaTheme="minorHAnsi"/>
        </w:rPr>
        <w:t>32,400</w:t>
      </w:r>
      <w:r w:rsidRPr="00EE014F">
        <w:rPr>
          <w:rFonts w:eastAsiaTheme="minorHAnsi"/>
        </w:rPr>
        <w:t xml:space="preserve"> for 20</w:t>
      </w:r>
      <w:r>
        <w:rPr>
          <w:rFonts w:eastAsiaTheme="minorHAnsi"/>
        </w:rPr>
        <w:t>2</w:t>
      </w:r>
      <w:r w:rsidR="002776D6">
        <w:rPr>
          <w:rFonts w:eastAsiaTheme="minorHAnsi"/>
        </w:rPr>
        <w:t>4</w:t>
      </w:r>
      <w:r w:rsidRPr="00EE014F">
        <w:rPr>
          <w:rFonts w:eastAsiaTheme="minorHAnsi"/>
        </w:rPr>
        <w:t>.</w:t>
      </w:r>
    </w:p>
    <w:p w14:paraId="140E62CE" w14:textId="77777777" w:rsidR="00863021" w:rsidRPr="00EE014F" w:rsidRDefault="00863021" w:rsidP="00863021">
      <w:pPr>
        <w:autoSpaceDE w:val="0"/>
        <w:autoSpaceDN w:val="0"/>
        <w:adjustRightInd w:val="0"/>
        <w:spacing w:after="0"/>
        <w:ind w:left="720"/>
        <w:rPr>
          <w:rFonts w:eastAsiaTheme="minorHAnsi"/>
          <w:b/>
          <w:bCs/>
          <w:i/>
          <w:iCs/>
        </w:rPr>
      </w:pPr>
    </w:p>
    <w:p w14:paraId="06F1403F" w14:textId="367360C1" w:rsidR="00863021" w:rsidRDefault="00863021" w:rsidP="00863021">
      <w:pPr>
        <w:autoSpaceDE w:val="0"/>
        <w:autoSpaceDN w:val="0"/>
        <w:adjustRightInd w:val="0"/>
        <w:spacing w:after="0"/>
        <w:ind w:left="720"/>
        <w:rPr>
          <w:rFonts w:eastAsiaTheme="minorHAnsi"/>
        </w:rPr>
      </w:pPr>
      <w:r w:rsidRPr="00EE014F">
        <w:rPr>
          <w:rFonts w:eastAsiaTheme="minorHAnsi"/>
          <w:b/>
          <w:bCs/>
          <w:i/>
          <w:iCs/>
        </w:rPr>
        <w:t>Social Security wage base</w:t>
      </w:r>
      <w:r w:rsidRPr="0061127F">
        <w:rPr>
          <w:rFonts w:eastAsiaTheme="minorHAnsi"/>
          <w:bCs/>
          <w:iCs/>
        </w:rPr>
        <w:t>—</w:t>
      </w:r>
      <w:r w:rsidRPr="00EE014F">
        <w:rPr>
          <w:rFonts w:eastAsiaTheme="minorHAnsi"/>
        </w:rPr>
        <w:t>the amount that is used to figure the Social</w:t>
      </w:r>
      <w:r>
        <w:rPr>
          <w:rFonts w:eastAsiaTheme="minorHAnsi"/>
        </w:rPr>
        <w:t xml:space="preserve"> </w:t>
      </w:r>
      <w:r w:rsidRPr="00EE014F">
        <w:rPr>
          <w:rFonts w:eastAsiaTheme="minorHAnsi"/>
        </w:rPr>
        <w:t>Security portion of FICA and self-employment tax ($</w:t>
      </w:r>
      <w:r>
        <w:rPr>
          <w:rFonts w:eastAsiaTheme="minorHAnsi"/>
        </w:rPr>
        <w:t>16</w:t>
      </w:r>
      <w:r w:rsidR="002328BF">
        <w:rPr>
          <w:rFonts w:eastAsiaTheme="minorHAnsi"/>
        </w:rPr>
        <w:t>8</w:t>
      </w:r>
      <w:r>
        <w:rPr>
          <w:rFonts w:eastAsiaTheme="minorHAnsi"/>
        </w:rPr>
        <w:t>,</w:t>
      </w:r>
      <w:r w:rsidR="002328BF">
        <w:rPr>
          <w:rFonts w:eastAsiaTheme="minorHAnsi"/>
        </w:rPr>
        <w:t>6</w:t>
      </w:r>
      <w:r>
        <w:rPr>
          <w:rFonts w:eastAsiaTheme="minorHAnsi"/>
        </w:rPr>
        <w:t>00</w:t>
      </w:r>
      <w:r w:rsidRPr="00EE014F">
        <w:rPr>
          <w:rFonts w:eastAsiaTheme="minorHAnsi"/>
        </w:rPr>
        <w:t xml:space="preserve"> for 20</w:t>
      </w:r>
      <w:r>
        <w:rPr>
          <w:rFonts w:eastAsiaTheme="minorHAnsi"/>
        </w:rPr>
        <w:t>2</w:t>
      </w:r>
      <w:r w:rsidR="002328BF">
        <w:rPr>
          <w:rFonts w:eastAsiaTheme="minorHAnsi"/>
        </w:rPr>
        <w:t>4</w:t>
      </w:r>
      <w:r w:rsidRPr="00EE014F">
        <w:rPr>
          <w:rFonts w:eastAsiaTheme="minorHAnsi"/>
        </w:rPr>
        <w:t>).</w:t>
      </w:r>
    </w:p>
    <w:p w14:paraId="703A6855" w14:textId="77777777" w:rsidR="00863021" w:rsidRPr="00EE014F" w:rsidRDefault="00863021" w:rsidP="00863021">
      <w:pPr>
        <w:autoSpaceDE w:val="0"/>
        <w:autoSpaceDN w:val="0"/>
        <w:adjustRightInd w:val="0"/>
        <w:spacing w:after="0"/>
        <w:ind w:left="720"/>
        <w:rPr>
          <w:rFonts w:eastAsiaTheme="minorHAnsi"/>
        </w:rPr>
      </w:pPr>
    </w:p>
    <w:p w14:paraId="0BC16E9B" w14:textId="276120B7" w:rsidR="00863021" w:rsidRPr="00EE014F" w:rsidRDefault="00863021" w:rsidP="00863021">
      <w:pPr>
        <w:autoSpaceDE w:val="0"/>
        <w:autoSpaceDN w:val="0"/>
        <w:adjustRightInd w:val="0"/>
        <w:spacing w:after="0"/>
        <w:ind w:left="720"/>
        <w:rPr>
          <w:rFonts w:eastAsiaTheme="minorHAnsi"/>
        </w:rPr>
      </w:pPr>
      <w:r w:rsidRPr="00EE014F">
        <w:rPr>
          <w:rFonts w:eastAsiaTheme="minorHAnsi"/>
          <w:b/>
          <w:bCs/>
          <w:i/>
          <w:iCs/>
        </w:rPr>
        <w:t>Transportation fringe benefits</w:t>
      </w:r>
      <w:r w:rsidRPr="0061127F">
        <w:rPr>
          <w:rFonts w:eastAsiaTheme="minorHAnsi"/>
          <w:bCs/>
          <w:iCs/>
        </w:rPr>
        <w:t>—</w:t>
      </w:r>
      <w:r w:rsidRPr="00EE014F">
        <w:rPr>
          <w:rFonts w:eastAsiaTheme="minorHAnsi"/>
        </w:rPr>
        <w:t>the amount excludable for free parking,</w:t>
      </w:r>
      <w:r>
        <w:rPr>
          <w:rFonts w:eastAsiaTheme="minorHAnsi"/>
        </w:rPr>
        <w:t xml:space="preserve"> </w:t>
      </w:r>
      <w:r w:rsidRPr="00EE014F">
        <w:rPr>
          <w:rFonts w:eastAsiaTheme="minorHAnsi"/>
        </w:rPr>
        <w:t xml:space="preserve">and the aggregate amount excludable for transit passes or van pooling, </w:t>
      </w:r>
      <w:r>
        <w:rPr>
          <w:rFonts w:eastAsiaTheme="minorHAnsi"/>
        </w:rPr>
        <w:t>is</w:t>
      </w:r>
      <w:r w:rsidRPr="00EE014F">
        <w:rPr>
          <w:rFonts w:eastAsiaTheme="minorHAnsi"/>
        </w:rPr>
        <w:t xml:space="preserve"> </w:t>
      </w:r>
      <w:proofErr w:type="gramStart"/>
      <w:r w:rsidRPr="00EE014F">
        <w:rPr>
          <w:rFonts w:eastAsiaTheme="minorHAnsi"/>
        </w:rPr>
        <w:t>$</w:t>
      </w:r>
      <w:r w:rsidR="002776D6">
        <w:rPr>
          <w:rFonts w:eastAsiaTheme="minorHAnsi"/>
        </w:rPr>
        <w:t>315</w:t>
      </w:r>
      <w:proofErr w:type="gramEnd"/>
    </w:p>
    <w:p w14:paraId="16BCEF2D" w14:textId="6DA86704" w:rsidR="00863021" w:rsidRDefault="00863021" w:rsidP="00863021">
      <w:pPr>
        <w:spacing w:after="0"/>
        <w:ind w:left="720"/>
        <w:rPr>
          <w:rFonts w:eastAsiaTheme="minorHAnsi"/>
        </w:rPr>
      </w:pPr>
      <w:r w:rsidRPr="00EE014F">
        <w:rPr>
          <w:rFonts w:eastAsiaTheme="minorHAnsi"/>
        </w:rPr>
        <w:t>per month in 20</w:t>
      </w:r>
      <w:r>
        <w:rPr>
          <w:rFonts w:eastAsiaTheme="minorHAnsi"/>
        </w:rPr>
        <w:t>2</w:t>
      </w:r>
      <w:r w:rsidR="002776D6">
        <w:rPr>
          <w:rFonts w:eastAsiaTheme="minorHAnsi"/>
        </w:rPr>
        <w:t>4</w:t>
      </w:r>
      <w:r w:rsidRPr="00EE014F">
        <w:rPr>
          <w:rFonts w:eastAsiaTheme="minorHAnsi"/>
        </w:rPr>
        <w:t>.</w:t>
      </w:r>
    </w:p>
    <w:p w14:paraId="69305408" w14:textId="77777777" w:rsidR="00863021" w:rsidRDefault="00863021" w:rsidP="00863021">
      <w:pPr>
        <w:spacing w:after="0"/>
        <w:rPr>
          <w:rFonts w:eastAsiaTheme="minorHAnsi"/>
          <w:b/>
        </w:rPr>
      </w:pPr>
    </w:p>
    <w:p w14:paraId="7E14AA11" w14:textId="32B19990" w:rsidR="00863021" w:rsidRDefault="00863021" w:rsidP="00863021">
      <w:pPr>
        <w:spacing w:after="0"/>
      </w:pPr>
      <w:r>
        <w:rPr>
          <w:rFonts w:eastAsiaTheme="minorHAnsi"/>
          <w:b/>
        </w:rPr>
        <w:t xml:space="preserve">Items set by the IRS. </w:t>
      </w:r>
      <w:r>
        <w:t>The following adjustments apply for 202</w:t>
      </w:r>
      <w:r w:rsidR="002328BF">
        <w:t>4</w:t>
      </w:r>
      <w:r>
        <w:t xml:space="preserve"> (and do not factor into the preparation of 202</w:t>
      </w:r>
      <w:r w:rsidR="002328BF">
        <w:t>5</w:t>
      </w:r>
      <w:r>
        <w:t xml:space="preserve"> returns):</w:t>
      </w:r>
    </w:p>
    <w:p w14:paraId="79CD5558" w14:textId="77777777" w:rsidR="00863021" w:rsidRDefault="00863021" w:rsidP="00863021">
      <w:pPr>
        <w:spacing w:after="0"/>
      </w:pPr>
    </w:p>
    <w:p w14:paraId="555004E2" w14:textId="4CF37A5B" w:rsidR="00863021" w:rsidRPr="00647DC7" w:rsidRDefault="00863021" w:rsidP="00863021">
      <w:pPr>
        <w:autoSpaceDE w:val="0"/>
        <w:autoSpaceDN w:val="0"/>
        <w:adjustRightInd w:val="0"/>
        <w:spacing w:after="0"/>
        <w:ind w:left="720"/>
        <w:rPr>
          <w:rFonts w:eastAsiaTheme="minorHAnsi"/>
        </w:rPr>
      </w:pPr>
      <w:r w:rsidRPr="00647DC7">
        <w:rPr>
          <w:rFonts w:eastAsiaTheme="minorHAnsi"/>
          <w:b/>
          <w:bCs/>
          <w:i/>
          <w:iCs/>
        </w:rPr>
        <w:t>Deemed depreciation for business vehicles</w:t>
      </w:r>
      <w:r w:rsidRPr="00647DC7">
        <w:rPr>
          <w:rFonts w:eastAsiaTheme="minorHAnsi"/>
        </w:rPr>
        <w:t xml:space="preserve">—if the deduction for expenses for business use of a personal vehicle owned by the taxpayer is figured using the IRS’s standard mileage allowance, then the basis of the vehicle is reduced by a set amount per mile (e.g., </w:t>
      </w:r>
      <w:r w:rsidR="002328BF">
        <w:rPr>
          <w:rFonts w:eastAsiaTheme="minorHAnsi"/>
        </w:rPr>
        <w:t>30</w:t>
      </w:r>
      <w:r w:rsidRPr="00647DC7">
        <w:rPr>
          <w:rFonts w:eastAsiaTheme="minorHAnsi"/>
        </w:rPr>
        <w:t>¢ per mile in 202</w:t>
      </w:r>
      <w:r w:rsidR="002328BF">
        <w:rPr>
          <w:rFonts w:eastAsiaTheme="minorHAnsi"/>
        </w:rPr>
        <w:t>4</w:t>
      </w:r>
      <w:r w:rsidRPr="00647DC7">
        <w:rPr>
          <w:rFonts w:eastAsiaTheme="minorHAnsi"/>
        </w:rPr>
        <w:t>).</w:t>
      </w:r>
    </w:p>
    <w:p w14:paraId="79D82BF0" w14:textId="77777777" w:rsidR="00863021" w:rsidRPr="00647DC7" w:rsidRDefault="00863021" w:rsidP="00863021">
      <w:pPr>
        <w:autoSpaceDE w:val="0"/>
        <w:autoSpaceDN w:val="0"/>
        <w:adjustRightInd w:val="0"/>
        <w:spacing w:after="0"/>
        <w:ind w:left="720"/>
        <w:rPr>
          <w:rFonts w:eastAsiaTheme="minorHAnsi"/>
        </w:rPr>
      </w:pPr>
    </w:p>
    <w:p w14:paraId="751A8E38" w14:textId="32CA2BE9" w:rsidR="00863021" w:rsidRDefault="00863021" w:rsidP="00863021">
      <w:pPr>
        <w:autoSpaceDE w:val="0"/>
        <w:autoSpaceDN w:val="0"/>
        <w:adjustRightInd w:val="0"/>
        <w:spacing w:after="0"/>
        <w:ind w:left="720"/>
      </w:pPr>
      <w:r w:rsidRPr="00647DC7">
        <w:rPr>
          <w:rFonts w:eastAsiaTheme="minorHAnsi"/>
          <w:b/>
          <w:bCs/>
          <w:i/>
          <w:iCs/>
        </w:rPr>
        <w:t>Mileage allowance</w:t>
      </w:r>
      <w:r w:rsidRPr="00647DC7">
        <w:rPr>
          <w:rFonts w:eastAsiaTheme="minorHAnsi"/>
        </w:rPr>
        <w:t xml:space="preserve">—the rate per mile used to determine the deduction for business use of a personal vehicle instead of deducting the actual costs is </w:t>
      </w:r>
      <w:r w:rsidR="002776D6">
        <w:rPr>
          <w:rFonts w:eastAsiaTheme="minorHAnsi"/>
        </w:rPr>
        <w:t>67</w:t>
      </w:r>
      <w:r w:rsidRPr="00647DC7">
        <w:rPr>
          <w:rFonts w:eastAsiaTheme="minorHAnsi"/>
        </w:rPr>
        <w:t>¢ per mile in 202</w:t>
      </w:r>
      <w:r w:rsidR="002776D6">
        <w:rPr>
          <w:rFonts w:eastAsiaTheme="minorHAnsi"/>
        </w:rPr>
        <w:t>4</w:t>
      </w:r>
      <w:r w:rsidRPr="00647DC7">
        <w:rPr>
          <w:rFonts w:eastAsiaTheme="minorHAnsi"/>
        </w:rPr>
        <w:t>.</w:t>
      </w:r>
    </w:p>
    <w:p w14:paraId="16CEFA40" w14:textId="77777777" w:rsidR="00863021" w:rsidRDefault="00863021" w:rsidP="00863021">
      <w:pPr>
        <w:spacing w:after="0"/>
      </w:pPr>
    </w:p>
    <w:p w14:paraId="1D631F20" w14:textId="77777777" w:rsidR="00863021" w:rsidRDefault="00863021" w:rsidP="00863021">
      <w:pPr>
        <w:spacing w:after="0"/>
      </w:pPr>
    </w:p>
    <w:p w14:paraId="7EADD91A" w14:textId="77777777" w:rsidR="00863021" w:rsidRDefault="00863021" w:rsidP="00863021">
      <w:pPr>
        <w:spacing w:after="0"/>
      </w:pPr>
    </w:p>
    <w:p w14:paraId="6E6EA969" w14:textId="77777777" w:rsidR="00863021" w:rsidRDefault="00863021" w:rsidP="00863021">
      <w:pPr>
        <w:spacing w:after="0"/>
      </w:pPr>
    </w:p>
    <w:p w14:paraId="3A6C9AEF" w14:textId="77777777" w:rsidR="008600AB" w:rsidRDefault="008600AB"/>
    <w:sectPr w:rsidR="008600AB" w:rsidSect="003A2B0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2CC"/>
    <w:multiLevelType w:val="hybridMultilevel"/>
    <w:tmpl w:val="95AED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7D5830"/>
    <w:multiLevelType w:val="hybridMultilevel"/>
    <w:tmpl w:val="FCF00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51BA0"/>
    <w:multiLevelType w:val="hybridMultilevel"/>
    <w:tmpl w:val="E1D2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955DA"/>
    <w:multiLevelType w:val="hybridMultilevel"/>
    <w:tmpl w:val="9162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26BDE"/>
    <w:multiLevelType w:val="hybridMultilevel"/>
    <w:tmpl w:val="EB467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F45DCB"/>
    <w:multiLevelType w:val="hybridMultilevel"/>
    <w:tmpl w:val="DF74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4029D"/>
    <w:multiLevelType w:val="hybridMultilevel"/>
    <w:tmpl w:val="E9EA4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543AC6"/>
    <w:multiLevelType w:val="hybridMultilevel"/>
    <w:tmpl w:val="1A1C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E62156"/>
    <w:multiLevelType w:val="hybridMultilevel"/>
    <w:tmpl w:val="26CCCB88"/>
    <w:lvl w:ilvl="0" w:tplc="D6B69EC6">
      <w:start w:val="1"/>
      <w:numFmt w:val="bullet"/>
      <w:lvlText w:val="•"/>
      <w:lvlJc w:val="left"/>
      <w:pPr>
        <w:tabs>
          <w:tab w:val="num" w:pos="720"/>
        </w:tabs>
        <w:ind w:left="720" w:hanging="360"/>
      </w:pPr>
      <w:rPr>
        <w:rFonts w:ascii="Arial" w:hAnsi="Arial" w:hint="default"/>
      </w:rPr>
    </w:lvl>
    <w:lvl w:ilvl="1" w:tplc="8C82DCE0">
      <w:start w:val="1"/>
      <w:numFmt w:val="bullet"/>
      <w:lvlText w:val="•"/>
      <w:lvlJc w:val="left"/>
      <w:pPr>
        <w:tabs>
          <w:tab w:val="num" w:pos="1440"/>
        </w:tabs>
        <w:ind w:left="1440" w:hanging="360"/>
      </w:pPr>
      <w:rPr>
        <w:rFonts w:ascii="Arial" w:hAnsi="Arial" w:hint="default"/>
      </w:rPr>
    </w:lvl>
    <w:lvl w:ilvl="2" w:tplc="11683586" w:tentative="1">
      <w:start w:val="1"/>
      <w:numFmt w:val="bullet"/>
      <w:lvlText w:val="•"/>
      <w:lvlJc w:val="left"/>
      <w:pPr>
        <w:tabs>
          <w:tab w:val="num" w:pos="2160"/>
        </w:tabs>
        <w:ind w:left="2160" w:hanging="360"/>
      </w:pPr>
      <w:rPr>
        <w:rFonts w:ascii="Arial" w:hAnsi="Arial" w:hint="default"/>
      </w:rPr>
    </w:lvl>
    <w:lvl w:ilvl="3" w:tplc="E0B89E0A" w:tentative="1">
      <w:start w:val="1"/>
      <w:numFmt w:val="bullet"/>
      <w:lvlText w:val="•"/>
      <w:lvlJc w:val="left"/>
      <w:pPr>
        <w:tabs>
          <w:tab w:val="num" w:pos="2880"/>
        </w:tabs>
        <w:ind w:left="2880" w:hanging="360"/>
      </w:pPr>
      <w:rPr>
        <w:rFonts w:ascii="Arial" w:hAnsi="Arial" w:hint="default"/>
      </w:rPr>
    </w:lvl>
    <w:lvl w:ilvl="4" w:tplc="952428AC" w:tentative="1">
      <w:start w:val="1"/>
      <w:numFmt w:val="bullet"/>
      <w:lvlText w:val="•"/>
      <w:lvlJc w:val="left"/>
      <w:pPr>
        <w:tabs>
          <w:tab w:val="num" w:pos="3600"/>
        </w:tabs>
        <w:ind w:left="3600" w:hanging="360"/>
      </w:pPr>
      <w:rPr>
        <w:rFonts w:ascii="Arial" w:hAnsi="Arial" w:hint="default"/>
      </w:rPr>
    </w:lvl>
    <w:lvl w:ilvl="5" w:tplc="A77E00AE" w:tentative="1">
      <w:start w:val="1"/>
      <w:numFmt w:val="bullet"/>
      <w:lvlText w:val="•"/>
      <w:lvlJc w:val="left"/>
      <w:pPr>
        <w:tabs>
          <w:tab w:val="num" w:pos="4320"/>
        </w:tabs>
        <w:ind w:left="4320" w:hanging="360"/>
      </w:pPr>
      <w:rPr>
        <w:rFonts w:ascii="Arial" w:hAnsi="Arial" w:hint="default"/>
      </w:rPr>
    </w:lvl>
    <w:lvl w:ilvl="6" w:tplc="6DC819BA" w:tentative="1">
      <w:start w:val="1"/>
      <w:numFmt w:val="bullet"/>
      <w:lvlText w:val="•"/>
      <w:lvlJc w:val="left"/>
      <w:pPr>
        <w:tabs>
          <w:tab w:val="num" w:pos="5040"/>
        </w:tabs>
        <w:ind w:left="5040" w:hanging="360"/>
      </w:pPr>
      <w:rPr>
        <w:rFonts w:ascii="Arial" w:hAnsi="Arial" w:hint="default"/>
      </w:rPr>
    </w:lvl>
    <w:lvl w:ilvl="7" w:tplc="569C1ACC" w:tentative="1">
      <w:start w:val="1"/>
      <w:numFmt w:val="bullet"/>
      <w:lvlText w:val="•"/>
      <w:lvlJc w:val="left"/>
      <w:pPr>
        <w:tabs>
          <w:tab w:val="num" w:pos="5760"/>
        </w:tabs>
        <w:ind w:left="5760" w:hanging="360"/>
      </w:pPr>
      <w:rPr>
        <w:rFonts w:ascii="Arial" w:hAnsi="Arial" w:hint="default"/>
      </w:rPr>
    </w:lvl>
    <w:lvl w:ilvl="8" w:tplc="63A2AA6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0400F4A"/>
    <w:multiLevelType w:val="hybridMultilevel"/>
    <w:tmpl w:val="88BAD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C80E34"/>
    <w:multiLevelType w:val="hybridMultilevel"/>
    <w:tmpl w:val="110EA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6F2A44"/>
    <w:multiLevelType w:val="hybridMultilevel"/>
    <w:tmpl w:val="636E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027367"/>
    <w:multiLevelType w:val="hybridMultilevel"/>
    <w:tmpl w:val="1ABE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A759A1"/>
    <w:multiLevelType w:val="hybridMultilevel"/>
    <w:tmpl w:val="91FAA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8A5D2E"/>
    <w:multiLevelType w:val="hybridMultilevel"/>
    <w:tmpl w:val="E8E06B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1D4077"/>
    <w:multiLevelType w:val="hybridMultilevel"/>
    <w:tmpl w:val="C0FAB058"/>
    <w:lvl w:ilvl="0" w:tplc="C64AC124">
      <w:start w:val="1"/>
      <w:numFmt w:val="bullet"/>
      <w:lvlText w:val=""/>
      <w:lvlJc w:val="left"/>
      <w:pPr>
        <w:tabs>
          <w:tab w:val="num" w:pos="720"/>
        </w:tabs>
        <w:ind w:left="720" w:hanging="360"/>
      </w:pPr>
      <w:rPr>
        <w:rFonts w:ascii="Wingdings" w:hAnsi="Wingdings" w:hint="default"/>
      </w:rPr>
    </w:lvl>
    <w:lvl w:ilvl="1" w:tplc="06AC6862">
      <w:start w:val="1"/>
      <w:numFmt w:val="bullet"/>
      <w:lvlText w:val=""/>
      <w:lvlJc w:val="left"/>
      <w:pPr>
        <w:tabs>
          <w:tab w:val="num" w:pos="1440"/>
        </w:tabs>
        <w:ind w:left="1440" w:hanging="360"/>
      </w:pPr>
      <w:rPr>
        <w:rFonts w:ascii="Wingdings" w:hAnsi="Wingdings" w:hint="default"/>
      </w:rPr>
    </w:lvl>
    <w:lvl w:ilvl="2" w:tplc="D5CCA306">
      <w:numFmt w:val="bullet"/>
      <w:lvlText w:val="•"/>
      <w:lvlJc w:val="left"/>
      <w:pPr>
        <w:tabs>
          <w:tab w:val="num" w:pos="2160"/>
        </w:tabs>
        <w:ind w:left="2160" w:hanging="360"/>
      </w:pPr>
      <w:rPr>
        <w:rFonts w:ascii="Arial" w:hAnsi="Arial" w:hint="default"/>
      </w:rPr>
    </w:lvl>
    <w:lvl w:ilvl="3" w:tplc="AE8A6DF2" w:tentative="1">
      <w:start w:val="1"/>
      <w:numFmt w:val="bullet"/>
      <w:lvlText w:val=""/>
      <w:lvlJc w:val="left"/>
      <w:pPr>
        <w:tabs>
          <w:tab w:val="num" w:pos="2880"/>
        </w:tabs>
        <w:ind w:left="2880" w:hanging="360"/>
      </w:pPr>
      <w:rPr>
        <w:rFonts w:ascii="Wingdings" w:hAnsi="Wingdings" w:hint="default"/>
      </w:rPr>
    </w:lvl>
    <w:lvl w:ilvl="4" w:tplc="6994D5A2" w:tentative="1">
      <w:start w:val="1"/>
      <w:numFmt w:val="bullet"/>
      <w:lvlText w:val=""/>
      <w:lvlJc w:val="left"/>
      <w:pPr>
        <w:tabs>
          <w:tab w:val="num" w:pos="3600"/>
        </w:tabs>
        <w:ind w:left="3600" w:hanging="360"/>
      </w:pPr>
      <w:rPr>
        <w:rFonts w:ascii="Wingdings" w:hAnsi="Wingdings" w:hint="default"/>
      </w:rPr>
    </w:lvl>
    <w:lvl w:ilvl="5" w:tplc="461E5DA8" w:tentative="1">
      <w:start w:val="1"/>
      <w:numFmt w:val="bullet"/>
      <w:lvlText w:val=""/>
      <w:lvlJc w:val="left"/>
      <w:pPr>
        <w:tabs>
          <w:tab w:val="num" w:pos="4320"/>
        </w:tabs>
        <w:ind w:left="4320" w:hanging="360"/>
      </w:pPr>
      <w:rPr>
        <w:rFonts w:ascii="Wingdings" w:hAnsi="Wingdings" w:hint="default"/>
      </w:rPr>
    </w:lvl>
    <w:lvl w:ilvl="6" w:tplc="6D3056F6" w:tentative="1">
      <w:start w:val="1"/>
      <w:numFmt w:val="bullet"/>
      <w:lvlText w:val=""/>
      <w:lvlJc w:val="left"/>
      <w:pPr>
        <w:tabs>
          <w:tab w:val="num" w:pos="5040"/>
        </w:tabs>
        <w:ind w:left="5040" w:hanging="360"/>
      </w:pPr>
      <w:rPr>
        <w:rFonts w:ascii="Wingdings" w:hAnsi="Wingdings" w:hint="default"/>
      </w:rPr>
    </w:lvl>
    <w:lvl w:ilvl="7" w:tplc="85B03210" w:tentative="1">
      <w:start w:val="1"/>
      <w:numFmt w:val="bullet"/>
      <w:lvlText w:val=""/>
      <w:lvlJc w:val="left"/>
      <w:pPr>
        <w:tabs>
          <w:tab w:val="num" w:pos="5760"/>
        </w:tabs>
        <w:ind w:left="5760" w:hanging="360"/>
      </w:pPr>
      <w:rPr>
        <w:rFonts w:ascii="Wingdings" w:hAnsi="Wingdings" w:hint="default"/>
      </w:rPr>
    </w:lvl>
    <w:lvl w:ilvl="8" w:tplc="EC12062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D56CD7"/>
    <w:multiLevelType w:val="hybridMultilevel"/>
    <w:tmpl w:val="8EB65DC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725786"/>
    <w:multiLevelType w:val="hybridMultilevel"/>
    <w:tmpl w:val="FFFAC0EE"/>
    <w:lvl w:ilvl="0" w:tplc="EB641096">
      <w:start w:val="1"/>
      <w:numFmt w:val="bullet"/>
      <w:lvlText w:val=""/>
      <w:lvlJc w:val="left"/>
      <w:pPr>
        <w:tabs>
          <w:tab w:val="num" w:pos="720"/>
        </w:tabs>
        <w:ind w:left="720" w:hanging="360"/>
      </w:pPr>
      <w:rPr>
        <w:rFonts w:ascii="Wingdings" w:hAnsi="Wingdings" w:hint="default"/>
      </w:rPr>
    </w:lvl>
    <w:lvl w:ilvl="1" w:tplc="C71C07CC">
      <w:start w:val="1"/>
      <w:numFmt w:val="bullet"/>
      <w:lvlText w:val=""/>
      <w:lvlJc w:val="left"/>
      <w:pPr>
        <w:tabs>
          <w:tab w:val="num" w:pos="1440"/>
        </w:tabs>
        <w:ind w:left="1440" w:hanging="360"/>
      </w:pPr>
      <w:rPr>
        <w:rFonts w:ascii="Wingdings" w:hAnsi="Wingdings" w:hint="default"/>
      </w:rPr>
    </w:lvl>
    <w:lvl w:ilvl="2" w:tplc="7030412A">
      <w:numFmt w:val="bullet"/>
      <w:lvlText w:val="•"/>
      <w:lvlJc w:val="left"/>
      <w:pPr>
        <w:tabs>
          <w:tab w:val="num" w:pos="2160"/>
        </w:tabs>
        <w:ind w:left="2160" w:hanging="360"/>
      </w:pPr>
      <w:rPr>
        <w:rFonts w:ascii="Arial" w:hAnsi="Arial" w:hint="default"/>
      </w:rPr>
    </w:lvl>
    <w:lvl w:ilvl="3" w:tplc="7B2A93DC" w:tentative="1">
      <w:start w:val="1"/>
      <w:numFmt w:val="bullet"/>
      <w:lvlText w:val=""/>
      <w:lvlJc w:val="left"/>
      <w:pPr>
        <w:tabs>
          <w:tab w:val="num" w:pos="2880"/>
        </w:tabs>
        <w:ind w:left="2880" w:hanging="360"/>
      </w:pPr>
      <w:rPr>
        <w:rFonts w:ascii="Wingdings" w:hAnsi="Wingdings" w:hint="default"/>
      </w:rPr>
    </w:lvl>
    <w:lvl w:ilvl="4" w:tplc="F6EA2C14" w:tentative="1">
      <w:start w:val="1"/>
      <w:numFmt w:val="bullet"/>
      <w:lvlText w:val=""/>
      <w:lvlJc w:val="left"/>
      <w:pPr>
        <w:tabs>
          <w:tab w:val="num" w:pos="3600"/>
        </w:tabs>
        <w:ind w:left="3600" w:hanging="360"/>
      </w:pPr>
      <w:rPr>
        <w:rFonts w:ascii="Wingdings" w:hAnsi="Wingdings" w:hint="default"/>
      </w:rPr>
    </w:lvl>
    <w:lvl w:ilvl="5" w:tplc="5FCEC9A6" w:tentative="1">
      <w:start w:val="1"/>
      <w:numFmt w:val="bullet"/>
      <w:lvlText w:val=""/>
      <w:lvlJc w:val="left"/>
      <w:pPr>
        <w:tabs>
          <w:tab w:val="num" w:pos="4320"/>
        </w:tabs>
        <w:ind w:left="4320" w:hanging="360"/>
      </w:pPr>
      <w:rPr>
        <w:rFonts w:ascii="Wingdings" w:hAnsi="Wingdings" w:hint="default"/>
      </w:rPr>
    </w:lvl>
    <w:lvl w:ilvl="6" w:tplc="9C2846EA" w:tentative="1">
      <w:start w:val="1"/>
      <w:numFmt w:val="bullet"/>
      <w:lvlText w:val=""/>
      <w:lvlJc w:val="left"/>
      <w:pPr>
        <w:tabs>
          <w:tab w:val="num" w:pos="5040"/>
        </w:tabs>
        <w:ind w:left="5040" w:hanging="360"/>
      </w:pPr>
      <w:rPr>
        <w:rFonts w:ascii="Wingdings" w:hAnsi="Wingdings" w:hint="default"/>
      </w:rPr>
    </w:lvl>
    <w:lvl w:ilvl="7" w:tplc="0E08B910" w:tentative="1">
      <w:start w:val="1"/>
      <w:numFmt w:val="bullet"/>
      <w:lvlText w:val=""/>
      <w:lvlJc w:val="left"/>
      <w:pPr>
        <w:tabs>
          <w:tab w:val="num" w:pos="5760"/>
        </w:tabs>
        <w:ind w:left="5760" w:hanging="360"/>
      </w:pPr>
      <w:rPr>
        <w:rFonts w:ascii="Wingdings" w:hAnsi="Wingdings" w:hint="default"/>
      </w:rPr>
    </w:lvl>
    <w:lvl w:ilvl="8" w:tplc="1FCAEBE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D06F5D"/>
    <w:multiLevelType w:val="hybridMultilevel"/>
    <w:tmpl w:val="28CCA168"/>
    <w:lvl w:ilvl="0" w:tplc="A5A667D0">
      <w:start w:val="1"/>
      <w:numFmt w:val="bullet"/>
      <w:lvlText w:val="•"/>
      <w:lvlJc w:val="left"/>
      <w:pPr>
        <w:tabs>
          <w:tab w:val="num" w:pos="720"/>
        </w:tabs>
        <w:ind w:left="720" w:hanging="360"/>
      </w:pPr>
      <w:rPr>
        <w:rFonts w:ascii="Arial" w:hAnsi="Arial" w:hint="default"/>
      </w:rPr>
    </w:lvl>
    <w:lvl w:ilvl="1" w:tplc="FABEF792" w:tentative="1">
      <w:start w:val="1"/>
      <w:numFmt w:val="bullet"/>
      <w:lvlText w:val="•"/>
      <w:lvlJc w:val="left"/>
      <w:pPr>
        <w:tabs>
          <w:tab w:val="num" w:pos="1440"/>
        </w:tabs>
        <w:ind w:left="1440" w:hanging="360"/>
      </w:pPr>
      <w:rPr>
        <w:rFonts w:ascii="Arial" w:hAnsi="Arial" w:hint="default"/>
      </w:rPr>
    </w:lvl>
    <w:lvl w:ilvl="2" w:tplc="3DC40196" w:tentative="1">
      <w:start w:val="1"/>
      <w:numFmt w:val="bullet"/>
      <w:lvlText w:val="•"/>
      <w:lvlJc w:val="left"/>
      <w:pPr>
        <w:tabs>
          <w:tab w:val="num" w:pos="2160"/>
        </w:tabs>
        <w:ind w:left="2160" w:hanging="360"/>
      </w:pPr>
      <w:rPr>
        <w:rFonts w:ascii="Arial" w:hAnsi="Arial" w:hint="default"/>
      </w:rPr>
    </w:lvl>
    <w:lvl w:ilvl="3" w:tplc="4A0E5618" w:tentative="1">
      <w:start w:val="1"/>
      <w:numFmt w:val="bullet"/>
      <w:lvlText w:val="•"/>
      <w:lvlJc w:val="left"/>
      <w:pPr>
        <w:tabs>
          <w:tab w:val="num" w:pos="2880"/>
        </w:tabs>
        <w:ind w:left="2880" w:hanging="360"/>
      </w:pPr>
      <w:rPr>
        <w:rFonts w:ascii="Arial" w:hAnsi="Arial" w:hint="default"/>
      </w:rPr>
    </w:lvl>
    <w:lvl w:ilvl="4" w:tplc="2DCC4C7C" w:tentative="1">
      <w:start w:val="1"/>
      <w:numFmt w:val="bullet"/>
      <w:lvlText w:val="•"/>
      <w:lvlJc w:val="left"/>
      <w:pPr>
        <w:tabs>
          <w:tab w:val="num" w:pos="3600"/>
        </w:tabs>
        <w:ind w:left="3600" w:hanging="360"/>
      </w:pPr>
      <w:rPr>
        <w:rFonts w:ascii="Arial" w:hAnsi="Arial" w:hint="default"/>
      </w:rPr>
    </w:lvl>
    <w:lvl w:ilvl="5" w:tplc="85E29A96" w:tentative="1">
      <w:start w:val="1"/>
      <w:numFmt w:val="bullet"/>
      <w:lvlText w:val="•"/>
      <w:lvlJc w:val="left"/>
      <w:pPr>
        <w:tabs>
          <w:tab w:val="num" w:pos="4320"/>
        </w:tabs>
        <w:ind w:left="4320" w:hanging="360"/>
      </w:pPr>
      <w:rPr>
        <w:rFonts w:ascii="Arial" w:hAnsi="Arial" w:hint="default"/>
      </w:rPr>
    </w:lvl>
    <w:lvl w:ilvl="6" w:tplc="DEB8FCA0" w:tentative="1">
      <w:start w:val="1"/>
      <w:numFmt w:val="bullet"/>
      <w:lvlText w:val="•"/>
      <w:lvlJc w:val="left"/>
      <w:pPr>
        <w:tabs>
          <w:tab w:val="num" w:pos="5040"/>
        </w:tabs>
        <w:ind w:left="5040" w:hanging="360"/>
      </w:pPr>
      <w:rPr>
        <w:rFonts w:ascii="Arial" w:hAnsi="Arial" w:hint="default"/>
      </w:rPr>
    </w:lvl>
    <w:lvl w:ilvl="7" w:tplc="1F3EFA22" w:tentative="1">
      <w:start w:val="1"/>
      <w:numFmt w:val="bullet"/>
      <w:lvlText w:val="•"/>
      <w:lvlJc w:val="left"/>
      <w:pPr>
        <w:tabs>
          <w:tab w:val="num" w:pos="5760"/>
        </w:tabs>
        <w:ind w:left="5760" w:hanging="360"/>
      </w:pPr>
      <w:rPr>
        <w:rFonts w:ascii="Arial" w:hAnsi="Arial" w:hint="default"/>
      </w:rPr>
    </w:lvl>
    <w:lvl w:ilvl="8" w:tplc="B0148DE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76D1CD9"/>
    <w:multiLevelType w:val="hybridMultilevel"/>
    <w:tmpl w:val="E2EC34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EC665E6"/>
    <w:multiLevelType w:val="hybridMultilevel"/>
    <w:tmpl w:val="DACAF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F90616"/>
    <w:multiLevelType w:val="hybridMultilevel"/>
    <w:tmpl w:val="6DDE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E621D6"/>
    <w:multiLevelType w:val="hybridMultilevel"/>
    <w:tmpl w:val="69FA3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DD5CAB"/>
    <w:multiLevelType w:val="hybridMultilevel"/>
    <w:tmpl w:val="8EEC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2F29DF"/>
    <w:multiLevelType w:val="hybridMultilevel"/>
    <w:tmpl w:val="094E6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B42288"/>
    <w:multiLevelType w:val="hybridMultilevel"/>
    <w:tmpl w:val="676ABB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5F7183"/>
    <w:multiLevelType w:val="hybridMultilevel"/>
    <w:tmpl w:val="0B26F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5C6D77"/>
    <w:multiLevelType w:val="hybridMultilevel"/>
    <w:tmpl w:val="6CC8B2E6"/>
    <w:lvl w:ilvl="0" w:tplc="BD0AD124">
      <w:start w:val="1"/>
      <w:numFmt w:val="bullet"/>
      <w:lvlText w:val="•"/>
      <w:lvlJc w:val="left"/>
      <w:pPr>
        <w:tabs>
          <w:tab w:val="num" w:pos="720"/>
        </w:tabs>
        <w:ind w:left="720" w:hanging="360"/>
      </w:pPr>
      <w:rPr>
        <w:rFonts w:ascii="Arial" w:hAnsi="Arial" w:hint="default"/>
      </w:rPr>
    </w:lvl>
    <w:lvl w:ilvl="1" w:tplc="F5568830" w:tentative="1">
      <w:start w:val="1"/>
      <w:numFmt w:val="bullet"/>
      <w:lvlText w:val="•"/>
      <w:lvlJc w:val="left"/>
      <w:pPr>
        <w:tabs>
          <w:tab w:val="num" w:pos="1440"/>
        </w:tabs>
        <w:ind w:left="1440" w:hanging="360"/>
      </w:pPr>
      <w:rPr>
        <w:rFonts w:ascii="Arial" w:hAnsi="Arial" w:hint="default"/>
      </w:rPr>
    </w:lvl>
    <w:lvl w:ilvl="2" w:tplc="155E3DA8">
      <w:start w:val="1"/>
      <w:numFmt w:val="bullet"/>
      <w:lvlText w:val="•"/>
      <w:lvlJc w:val="left"/>
      <w:pPr>
        <w:tabs>
          <w:tab w:val="num" w:pos="2160"/>
        </w:tabs>
        <w:ind w:left="2160" w:hanging="360"/>
      </w:pPr>
      <w:rPr>
        <w:rFonts w:ascii="Arial" w:hAnsi="Arial" w:hint="default"/>
      </w:rPr>
    </w:lvl>
    <w:lvl w:ilvl="3" w:tplc="CDF2316C" w:tentative="1">
      <w:start w:val="1"/>
      <w:numFmt w:val="bullet"/>
      <w:lvlText w:val="•"/>
      <w:lvlJc w:val="left"/>
      <w:pPr>
        <w:tabs>
          <w:tab w:val="num" w:pos="2880"/>
        </w:tabs>
        <w:ind w:left="2880" w:hanging="360"/>
      </w:pPr>
      <w:rPr>
        <w:rFonts w:ascii="Arial" w:hAnsi="Arial" w:hint="default"/>
      </w:rPr>
    </w:lvl>
    <w:lvl w:ilvl="4" w:tplc="8C6EC490" w:tentative="1">
      <w:start w:val="1"/>
      <w:numFmt w:val="bullet"/>
      <w:lvlText w:val="•"/>
      <w:lvlJc w:val="left"/>
      <w:pPr>
        <w:tabs>
          <w:tab w:val="num" w:pos="3600"/>
        </w:tabs>
        <w:ind w:left="3600" w:hanging="360"/>
      </w:pPr>
      <w:rPr>
        <w:rFonts w:ascii="Arial" w:hAnsi="Arial" w:hint="default"/>
      </w:rPr>
    </w:lvl>
    <w:lvl w:ilvl="5" w:tplc="8180A128" w:tentative="1">
      <w:start w:val="1"/>
      <w:numFmt w:val="bullet"/>
      <w:lvlText w:val="•"/>
      <w:lvlJc w:val="left"/>
      <w:pPr>
        <w:tabs>
          <w:tab w:val="num" w:pos="4320"/>
        </w:tabs>
        <w:ind w:left="4320" w:hanging="360"/>
      </w:pPr>
      <w:rPr>
        <w:rFonts w:ascii="Arial" w:hAnsi="Arial" w:hint="default"/>
      </w:rPr>
    </w:lvl>
    <w:lvl w:ilvl="6" w:tplc="1098033E" w:tentative="1">
      <w:start w:val="1"/>
      <w:numFmt w:val="bullet"/>
      <w:lvlText w:val="•"/>
      <w:lvlJc w:val="left"/>
      <w:pPr>
        <w:tabs>
          <w:tab w:val="num" w:pos="5040"/>
        </w:tabs>
        <w:ind w:left="5040" w:hanging="360"/>
      </w:pPr>
      <w:rPr>
        <w:rFonts w:ascii="Arial" w:hAnsi="Arial" w:hint="default"/>
      </w:rPr>
    </w:lvl>
    <w:lvl w:ilvl="7" w:tplc="DEB6ADC2" w:tentative="1">
      <w:start w:val="1"/>
      <w:numFmt w:val="bullet"/>
      <w:lvlText w:val="•"/>
      <w:lvlJc w:val="left"/>
      <w:pPr>
        <w:tabs>
          <w:tab w:val="num" w:pos="5760"/>
        </w:tabs>
        <w:ind w:left="5760" w:hanging="360"/>
      </w:pPr>
      <w:rPr>
        <w:rFonts w:ascii="Arial" w:hAnsi="Arial" w:hint="default"/>
      </w:rPr>
    </w:lvl>
    <w:lvl w:ilvl="8" w:tplc="8C668B4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DF4A93"/>
    <w:multiLevelType w:val="hybridMultilevel"/>
    <w:tmpl w:val="76482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5B53C9"/>
    <w:multiLevelType w:val="hybridMultilevel"/>
    <w:tmpl w:val="0E927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2F69D1"/>
    <w:multiLevelType w:val="hybridMultilevel"/>
    <w:tmpl w:val="69BCB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51481D"/>
    <w:multiLevelType w:val="hybridMultilevel"/>
    <w:tmpl w:val="7AD8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3C281E"/>
    <w:multiLevelType w:val="hybridMultilevel"/>
    <w:tmpl w:val="A68A9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A56EE9"/>
    <w:multiLevelType w:val="hybridMultilevel"/>
    <w:tmpl w:val="5678C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00069D"/>
    <w:multiLevelType w:val="multilevel"/>
    <w:tmpl w:val="B0E0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CB17BA"/>
    <w:multiLevelType w:val="hybridMultilevel"/>
    <w:tmpl w:val="C696F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0A26D6"/>
    <w:multiLevelType w:val="hybridMultilevel"/>
    <w:tmpl w:val="3CAAA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D91500"/>
    <w:multiLevelType w:val="hybridMultilevel"/>
    <w:tmpl w:val="84B21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9C74BB"/>
    <w:multiLevelType w:val="multilevel"/>
    <w:tmpl w:val="D188D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AA0210"/>
    <w:multiLevelType w:val="hybridMultilevel"/>
    <w:tmpl w:val="AD60D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0C4D78"/>
    <w:multiLevelType w:val="hybridMultilevel"/>
    <w:tmpl w:val="70D2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DD0451"/>
    <w:multiLevelType w:val="hybridMultilevel"/>
    <w:tmpl w:val="AD005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73625F"/>
    <w:multiLevelType w:val="hybridMultilevel"/>
    <w:tmpl w:val="3C46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8076CF"/>
    <w:multiLevelType w:val="hybridMultilevel"/>
    <w:tmpl w:val="4BE87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A62340"/>
    <w:multiLevelType w:val="hybridMultilevel"/>
    <w:tmpl w:val="0CAEE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5F50EC"/>
    <w:multiLevelType w:val="hybridMultilevel"/>
    <w:tmpl w:val="620E3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8585435">
    <w:abstractNumId w:val="25"/>
  </w:num>
  <w:num w:numId="2" w16cid:durableId="1089618618">
    <w:abstractNumId w:val="14"/>
  </w:num>
  <w:num w:numId="3" w16cid:durableId="700589346">
    <w:abstractNumId w:val="30"/>
  </w:num>
  <w:num w:numId="4" w16cid:durableId="891648132">
    <w:abstractNumId w:val="24"/>
  </w:num>
  <w:num w:numId="5" w16cid:durableId="788815838">
    <w:abstractNumId w:val="35"/>
  </w:num>
  <w:num w:numId="6" w16cid:durableId="160205">
    <w:abstractNumId w:val="1"/>
  </w:num>
  <w:num w:numId="7" w16cid:durableId="529877511">
    <w:abstractNumId w:val="21"/>
  </w:num>
  <w:num w:numId="8" w16cid:durableId="950547699">
    <w:abstractNumId w:val="13"/>
  </w:num>
  <w:num w:numId="9" w16cid:durableId="107051554">
    <w:abstractNumId w:val="7"/>
  </w:num>
  <w:num w:numId="10" w16cid:durableId="874467030">
    <w:abstractNumId w:val="10"/>
  </w:num>
  <w:num w:numId="11" w16cid:durableId="800226694">
    <w:abstractNumId w:val="42"/>
  </w:num>
  <w:num w:numId="12" w16cid:durableId="1609002614">
    <w:abstractNumId w:val="40"/>
  </w:num>
  <w:num w:numId="13" w16cid:durableId="2090036850">
    <w:abstractNumId w:val="11"/>
  </w:num>
  <w:num w:numId="14" w16cid:durableId="1355840294">
    <w:abstractNumId w:val="45"/>
  </w:num>
  <w:num w:numId="15" w16cid:durableId="866219791">
    <w:abstractNumId w:val="16"/>
  </w:num>
  <w:num w:numId="16" w16cid:durableId="1399591100">
    <w:abstractNumId w:val="20"/>
  </w:num>
  <w:num w:numId="17" w16cid:durableId="614212600">
    <w:abstractNumId w:val="41"/>
  </w:num>
  <w:num w:numId="18" w16cid:durableId="625702520">
    <w:abstractNumId w:val="0"/>
  </w:num>
  <w:num w:numId="19" w16cid:durableId="981232329">
    <w:abstractNumId w:val="32"/>
  </w:num>
  <w:num w:numId="20" w16cid:durableId="1868525835">
    <w:abstractNumId w:val="43"/>
  </w:num>
  <w:num w:numId="21" w16cid:durableId="1998535142">
    <w:abstractNumId w:val="9"/>
  </w:num>
  <w:num w:numId="22" w16cid:durableId="1495143054">
    <w:abstractNumId w:val="6"/>
  </w:num>
  <w:num w:numId="23" w16cid:durableId="237522328">
    <w:abstractNumId w:val="44"/>
  </w:num>
  <w:num w:numId="24" w16cid:durableId="2011788677">
    <w:abstractNumId w:val="31"/>
  </w:num>
  <w:num w:numId="25" w16cid:durableId="971010895">
    <w:abstractNumId w:val="23"/>
  </w:num>
  <w:num w:numId="26" w16cid:durableId="2080512353">
    <w:abstractNumId w:val="27"/>
  </w:num>
  <w:num w:numId="27" w16cid:durableId="1192378708">
    <w:abstractNumId w:val="15"/>
  </w:num>
  <w:num w:numId="28" w16cid:durableId="115680688">
    <w:abstractNumId w:val="4"/>
  </w:num>
  <w:num w:numId="29" w16cid:durableId="304824578">
    <w:abstractNumId w:val="39"/>
  </w:num>
  <w:num w:numId="30" w16cid:durableId="935944059">
    <w:abstractNumId w:val="17"/>
  </w:num>
  <w:num w:numId="31" w16cid:durableId="797915724">
    <w:abstractNumId w:val="19"/>
  </w:num>
  <w:num w:numId="32" w16cid:durableId="923994474">
    <w:abstractNumId w:val="38"/>
  </w:num>
  <w:num w:numId="33" w16cid:durableId="1589264484">
    <w:abstractNumId w:val="37"/>
  </w:num>
  <w:num w:numId="34" w16cid:durableId="1936212038">
    <w:abstractNumId w:val="5"/>
  </w:num>
  <w:num w:numId="35" w16cid:durableId="1335380647">
    <w:abstractNumId w:val="34"/>
  </w:num>
  <w:num w:numId="36" w16cid:durableId="1845169125">
    <w:abstractNumId w:val="3"/>
  </w:num>
  <w:num w:numId="37" w16cid:durableId="29765757">
    <w:abstractNumId w:val="36"/>
  </w:num>
  <w:num w:numId="38" w16cid:durableId="1889342270">
    <w:abstractNumId w:val="29"/>
  </w:num>
  <w:num w:numId="39" w16cid:durableId="1773698118">
    <w:abstractNumId w:val="28"/>
  </w:num>
  <w:num w:numId="40" w16cid:durableId="2088842459">
    <w:abstractNumId w:val="2"/>
  </w:num>
  <w:num w:numId="41" w16cid:durableId="1506437547">
    <w:abstractNumId w:val="8"/>
  </w:num>
  <w:num w:numId="42" w16cid:durableId="243498106">
    <w:abstractNumId w:val="22"/>
  </w:num>
  <w:num w:numId="43" w16cid:durableId="69616215">
    <w:abstractNumId w:val="18"/>
  </w:num>
  <w:num w:numId="44" w16cid:durableId="431508510">
    <w:abstractNumId w:val="26"/>
  </w:num>
  <w:num w:numId="45" w16cid:durableId="1170292753">
    <w:abstractNumId w:val="12"/>
  </w:num>
  <w:num w:numId="46" w16cid:durableId="10910039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021"/>
    <w:rsid w:val="0000037B"/>
    <w:rsid w:val="00003345"/>
    <w:rsid w:val="00020EE6"/>
    <w:rsid w:val="00036D8B"/>
    <w:rsid w:val="000614CF"/>
    <w:rsid w:val="00067FC4"/>
    <w:rsid w:val="000A4AAB"/>
    <w:rsid w:val="000D2462"/>
    <w:rsid w:val="000D2DD2"/>
    <w:rsid w:val="000D65BF"/>
    <w:rsid w:val="000D6E39"/>
    <w:rsid w:val="000F1654"/>
    <w:rsid w:val="0012453B"/>
    <w:rsid w:val="00173A46"/>
    <w:rsid w:val="00174EE3"/>
    <w:rsid w:val="00186670"/>
    <w:rsid w:val="001D64D1"/>
    <w:rsid w:val="001E0D91"/>
    <w:rsid w:val="001E2695"/>
    <w:rsid w:val="001E6010"/>
    <w:rsid w:val="00225533"/>
    <w:rsid w:val="002328BF"/>
    <w:rsid w:val="00254062"/>
    <w:rsid w:val="00256630"/>
    <w:rsid w:val="00257247"/>
    <w:rsid w:val="0026424E"/>
    <w:rsid w:val="002776D6"/>
    <w:rsid w:val="00293B73"/>
    <w:rsid w:val="00294281"/>
    <w:rsid w:val="002D0165"/>
    <w:rsid w:val="002E62F8"/>
    <w:rsid w:val="002E7754"/>
    <w:rsid w:val="002F3F4F"/>
    <w:rsid w:val="003011DE"/>
    <w:rsid w:val="00334744"/>
    <w:rsid w:val="003445CA"/>
    <w:rsid w:val="00372CC8"/>
    <w:rsid w:val="00374360"/>
    <w:rsid w:val="00397218"/>
    <w:rsid w:val="003A2B0A"/>
    <w:rsid w:val="003C05CF"/>
    <w:rsid w:val="003C48E9"/>
    <w:rsid w:val="003E3070"/>
    <w:rsid w:val="004053E2"/>
    <w:rsid w:val="00452F2C"/>
    <w:rsid w:val="00456D0F"/>
    <w:rsid w:val="004C2E9D"/>
    <w:rsid w:val="004D76E6"/>
    <w:rsid w:val="004E0456"/>
    <w:rsid w:val="005242C7"/>
    <w:rsid w:val="005457C8"/>
    <w:rsid w:val="00565719"/>
    <w:rsid w:val="00565987"/>
    <w:rsid w:val="00584C66"/>
    <w:rsid w:val="0059069D"/>
    <w:rsid w:val="005A601C"/>
    <w:rsid w:val="005C274F"/>
    <w:rsid w:val="005D7AF1"/>
    <w:rsid w:val="005E7E11"/>
    <w:rsid w:val="005F23AF"/>
    <w:rsid w:val="006148DE"/>
    <w:rsid w:val="006223A7"/>
    <w:rsid w:val="00636A03"/>
    <w:rsid w:val="006456A7"/>
    <w:rsid w:val="00665A9A"/>
    <w:rsid w:val="006930D3"/>
    <w:rsid w:val="006A0088"/>
    <w:rsid w:val="006C1F8F"/>
    <w:rsid w:val="006C6F46"/>
    <w:rsid w:val="0071296E"/>
    <w:rsid w:val="007160C7"/>
    <w:rsid w:val="0073295F"/>
    <w:rsid w:val="0077736F"/>
    <w:rsid w:val="00783B31"/>
    <w:rsid w:val="007B5D6E"/>
    <w:rsid w:val="007C585B"/>
    <w:rsid w:val="007E1106"/>
    <w:rsid w:val="007E7AE9"/>
    <w:rsid w:val="0080745D"/>
    <w:rsid w:val="00836A7B"/>
    <w:rsid w:val="00844E7A"/>
    <w:rsid w:val="008600AB"/>
    <w:rsid w:val="00863021"/>
    <w:rsid w:val="0088645E"/>
    <w:rsid w:val="00895740"/>
    <w:rsid w:val="008965FD"/>
    <w:rsid w:val="008C2FC8"/>
    <w:rsid w:val="00940E25"/>
    <w:rsid w:val="00981F4C"/>
    <w:rsid w:val="00984F58"/>
    <w:rsid w:val="00985C97"/>
    <w:rsid w:val="00985CE9"/>
    <w:rsid w:val="009B7BAF"/>
    <w:rsid w:val="00A02F9C"/>
    <w:rsid w:val="00A40E91"/>
    <w:rsid w:val="00A54E90"/>
    <w:rsid w:val="00A55BB1"/>
    <w:rsid w:val="00A56D3B"/>
    <w:rsid w:val="00A73667"/>
    <w:rsid w:val="00A8407B"/>
    <w:rsid w:val="00AB53DE"/>
    <w:rsid w:val="00AD07DB"/>
    <w:rsid w:val="00B229C4"/>
    <w:rsid w:val="00B538E5"/>
    <w:rsid w:val="00B54B22"/>
    <w:rsid w:val="00BA51BC"/>
    <w:rsid w:val="00C13755"/>
    <w:rsid w:val="00C32E25"/>
    <w:rsid w:val="00C34462"/>
    <w:rsid w:val="00C50A22"/>
    <w:rsid w:val="00C63FEA"/>
    <w:rsid w:val="00C703A0"/>
    <w:rsid w:val="00C844E1"/>
    <w:rsid w:val="00C95105"/>
    <w:rsid w:val="00CB4FFF"/>
    <w:rsid w:val="00CC015F"/>
    <w:rsid w:val="00CC4B07"/>
    <w:rsid w:val="00CE1C3B"/>
    <w:rsid w:val="00D015FA"/>
    <w:rsid w:val="00D05B70"/>
    <w:rsid w:val="00D82010"/>
    <w:rsid w:val="00D85477"/>
    <w:rsid w:val="00DA15BE"/>
    <w:rsid w:val="00DF1BA2"/>
    <w:rsid w:val="00E01AE2"/>
    <w:rsid w:val="00E04C41"/>
    <w:rsid w:val="00E6218C"/>
    <w:rsid w:val="00F0220B"/>
    <w:rsid w:val="00F35454"/>
    <w:rsid w:val="00F521BF"/>
    <w:rsid w:val="00F54976"/>
    <w:rsid w:val="00F773DD"/>
    <w:rsid w:val="00FA191E"/>
    <w:rsid w:val="00FB7BC0"/>
    <w:rsid w:val="00FC1BCB"/>
    <w:rsid w:val="00FC218B"/>
    <w:rsid w:val="00FF5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4EEB0"/>
  <w15:chartTrackingRefBased/>
  <w15:docId w15:val="{C4551DE7-777D-4EF2-A7C3-DD71F07B0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Calibr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021"/>
    <w:pPr>
      <w:spacing w:after="120"/>
    </w:pPr>
    <w:rPr>
      <w:rFonts w:ascii="Times New Roman" w:eastAsia="Calibri" w:hAnsi="Times New Roman" w:cs="Times New Roman"/>
      <w:kern w:val="0"/>
    </w:rPr>
  </w:style>
  <w:style w:type="paragraph" w:styleId="Heading1">
    <w:name w:val="heading 1"/>
    <w:basedOn w:val="Normal"/>
    <w:next w:val="Normal"/>
    <w:link w:val="Heading1Char"/>
    <w:uiPriority w:val="99"/>
    <w:qFormat/>
    <w:rsid w:val="00863021"/>
    <w:pPr>
      <w:keepNext/>
      <w:keepLines/>
      <w:widowControl w:val="0"/>
      <w:spacing w:before="280" w:after="210" w:line="480" w:lineRule="exact"/>
      <w:outlineLvl w:val="0"/>
    </w:pPr>
    <w:rPr>
      <w:rFonts w:ascii="Georgia" w:hAnsi="Georgia"/>
      <w:b/>
      <w:bCs/>
      <w:i/>
      <w:iCs/>
      <w:sz w:val="36"/>
      <w:szCs w:val="36"/>
    </w:rPr>
  </w:style>
  <w:style w:type="paragraph" w:styleId="Heading2">
    <w:name w:val="heading 2"/>
    <w:basedOn w:val="Normal"/>
    <w:next w:val="Normal"/>
    <w:link w:val="Heading2Char"/>
    <w:autoRedefine/>
    <w:uiPriority w:val="99"/>
    <w:qFormat/>
    <w:rsid w:val="00E01AE2"/>
    <w:pPr>
      <w:keepNext/>
      <w:keepLines/>
      <w:widowControl w:val="0"/>
      <w:spacing w:after="0"/>
      <w:outlineLvl w:val="1"/>
    </w:pPr>
    <w:rPr>
      <w:rFonts w:ascii="Georgia" w:hAnsi="Georgia"/>
      <w:b/>
      <w:bCs/>
      <w:i/>
      <w:iCs/>
      <w:sz w:val="30"/>
      <w:szCs w:val="30"/>
    </w:rPr>
  </w:style>
  <w:style w:type="paragraph" w:styleId="Heading6">
    <w:name w:val="heading 6"/>
    <w:basedOn w:val="Normal"/>
    <w:next w:val="Normal"/>
    <w:link w:val="Heading6Char"/>
    <w:uiPriority w:val="99"/>
    <w:qFormat/>
    <w:rsid w:val="00863021"/>
    <w:pPr>
      <w:keepNext/>
      <w:spacing w:line="480" w:lineRule="auto"/>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63021"/>
    <w:rPr>
      <w:rFonts w:ascii="Georgia" w:eastAsia="Calibri" w:hAnsi="Georgia" w:cs="Times New Roman"/>
      <w:b/>
      <w:bCs/>
      <w:i/>
      <w:iCs/>
      <w:kern w:val="0"/>
      <w:sz w:val="36"/>
      <w:szCs w:val="36"/>
    </w:rPr>
  </w:style>
  <w:style w:type="character" w:customStyle="1" w:styleId="Heading2Char">
    <w:name w:val="Heading 2 Char"/>
    <w:basedOn w:val="DefaultParagraphFont"/>
    <w:link w:val="Heading2"/>
    <w:uiPriority w:val="99"/>
    <w:rsid w:val="00E01AE2"/>
    <w:rPr>
      <w:rFonts w:ascii="Georgia" w:eastAsia="Calibri" w:hAnsi="Georgia" w:cs="Times New Roman"/>
      <w:b/>
      <w:bCs/>
      <w:i/>
      <w:iCs/>
      <w:kern w:val="0"/>
      <w:sz w:val="30"/>
      <w:szCs w:val="30"/>
    </w:rPr>
  </w:style>
  <w:style w:type="character" w:customStyle="1" w:styleId="Heading6Char">
    <w:name w:val="Heading 6 Char"/>
    <w:basedOn w:val="DefaultParagraphFont"/>
    <w:link w:val="Heading6"/>
    <w:uiPriority w:val="99"/>
    <w:rsid w:val="00863021"/>
    <w:rPr>
      <w:rFonts w:ascii="Times New Roman" w:eastAsia="Calibri" w:hAnsi="Times New Roman" w:cs="Times New Roman"/>
      <w:b/>
      <w:bCs/>
      <w:kern w:val="0"/>
    </w:rPr>
  </w:style>
  <w:style w:type="character" w:styleId="Hyperlink">
    <w:name w:val="Hyperlink"/>
    <w:basedOn w:val="DefaultParagraphFont"/>
    <w:uiPriority w:val="99"/>
    <w:rsid w:val="00863021"/>
    <w:rPr>
      <w:rFonts w:cs="Times New Roman"/>
      <w:color w:val="0000FF"/>
      <w:u w:val="single"/>
    </w:rPr>
  </w:style>
  <w:style w:type="paragraph" w:styleId="ListParagraph">
    <w:name w:val="List Paragraph"/>
    <w:basedOn w:val="Normal"/>
    <w:uiPriority w:val="34"/>
    <w:qFormat/>
    <w:rsid w:val="00863021"/>
    <w:pPr>
      <w:ind w:left="720"/>
      <w:contextualSpacing/>
    </w:pPr>
  </w:style>
  <w:style w:type="table" w:styleId="TableGrid">
    <w:name w:val="Table Grid"/>
    <w:basedOn w:val="TableNormal"/>
    <w:uiPriority w:val="99"/>
    <w:rsid w:val="00863021"/>
    <w:rPr>
      <w:rFonts w:ascii="Times New Roman" w:eastAsia="Calibri"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63021"/>
    <w:rPr>
      <w:color w:val="800080" w:themeColor="followedHyperlink"/>
      <w:u w:val="single"/>
    </w:rPr>
  </w:style>
  <w:style w:type="character" w:styleId="UnresolvedMention">
    <w:name w:val="Unresolved Mention"/>
    <w:basedOn w:val="DefaultParagraphFont"/>
    <w:uiPriority w:val="99"/>
    <w:semiHidden/>
    <w:unhideWhenUsed/>
    <w:rsid w:val="00863021"/>
    <w:rPr>
      <w:color w:val="605E5C"/>
      <w:shd w:val="clear" w:color="auto" w:fill="E1DFDD"/>
    </w:rPr>
  </w:style>
  <w:style w:type="paragraph" w:styleId="NormalWeb">
    <w:name w:val="Normal (Web)"/>
    <w:basedOn w:val="Normal"/>
    <w:uiPriority w:val="99"/>
    <w:unhideWhenUsed/>
    <w:rsid w:val="00863021"/>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842786">
      <w:bodyDiv w:val="1"/>
      <w:marLeft w:val="0"/>
      <w:marRight w:val="0"/>
      <w:marTop w:val="0"/>
      <w:marBottom w:val="0"/>
      <w:divBdr>
        <w:top w:val="none" w:sz="0" w:space="0" w:color="auto"/>
        <w:left w:val="none" w:sz="0" w:space="0" w:color="auto"/>
        <w:bottom w:val="none" w:sz="0" w:space="0" w:color="auto"/>
        <w:right w:val="none" w:sz="0" w:space="0" w:color="auto"/>
      </w:divBdr>
      <w:divsChild>
        <w:div w:id="55907804">
          <w:marLeft w:val="605"/>
          <w:marRight w:val="0"/>
          <w:marTop w:val="86"/>
          <w:marBottom w:val="0"/>
          <w:divBdr>
            <w:top w:val="none" w:sz="0" w:space="0" w:color="auto"/>
            <w:left w:val="none" w:sz="0" w:space="0" w:color="auto"/>
            <w:bottom w:val="none" w:sz="0" w:space="0" w:color="auto"/>
            <w:right w:val="none" w:sz="0" w:space="0" w:color="auto"/>
          </w:divBdr>
        </w:div>
        <w:div w:id="448621573">
          <w:marLeft w:val="605"/>
          <w:marRight w:val="0"/>
          <w:marTop w:val="86"/>
          <w:marBottom w:val="0"/>
          <w:divBdr>
            <w:top w:val="none" w:sz="0" w:space="0" w:color="auto"/>
            <w:left w:val="none" w:sz="0" w:space="0" w:color="auto"/>
            <w:bottom w:val="none" w:sz="0" w:space="0" w:color="auto"/>
            <w:right w:val="none" w:sz="0" w:space="0" w:color="auto"/>
          </w:divBdr>
        </w:div>
        <w:div w:id="961033487">
          <w:marLeft w:val="605"/>
          <w:marRight w:val="0"/>
          <w:marTop w:val="86"/>
          <w:marBottom w:val="0"/>
          <w:divBdr>
            <w:top w:val="none" w:sz="0" w:space="0" w:color="auto"/>
            <w:left w:val="none" w:sz="0" w:space="0" w:color="auto"/>
            <w:bottom w:val="none" w:sz="0" w:space="0" w:color="auto"/>
            <w:right w:val="none" w:sz="0" w:space="0" w:color="auto"/>
          </w:divBdr>
        </w:div>
        <w:div w:id="1504781993">
          <w:marLeft w:val="605"/>
          <w:marRight w:val="0"/>
          <w:marTop w:val="86"/>
          <w:marBottom w:val="0"/>
          <w:divBdr>
            <w:top w:val="none" w:sz="0" w:space="0" w:color="auto"/>
            <w:left w:val="none" w:sz="0" w:space="0" w:color="auto"/>
            <w:bottom w:val="none" w:sz="0" w:space="0" w:color="auto"/>
            <w:right w:val="none" w:sz="0" w:space="0" w:color="auto"/>
          </w:divBdr>
        </w:div>
        <w:div w:id="1390611297">
          <w:marLeft w:val="605"/>
          <w:marRight w:val="0"/>
          <w:marTop w:val="86"/>
          <w:marBottom w:val="0"/>
          <w:divBdr>
            <w:top w:val="none" w:sz="0" w:space="0" w:color="auto"/>
            <w:left w:val="none" w:sz="0" w:space="0" w:color="auto"/>
            <w:bottom w:val="none" w:sz="0" w:space="0" w:color="auto"/>
            <w:right w:val="none" w:sz="0" w:space="0" w:color="auto"/>
          </w:divBdr>
        </w:div>
        <w:div w:id="626471160">
          <w:marLeft w:val="605"/>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pub/irs-drop/rp-24-09.pdf" TargetMode="External"/><Relationship Id="rId13" Type="http://schemas.openxmlformats.org/officeDocument/2006/relationships/hyperlink" Target="https://www.gsa.gov/travel/plan-book/per-diem-rates" TargetMode="External"/><Relationship Id="rId18" Type="http://schemas.openxmlformats.org/officeDocument/2006/relationships/hyperlink" Target="https://www.fema.gov/disaster/declarations" TargetMode="External"/><Relationship Id="rId3" Type="http://schemas.openxmlformats.org/officeDocument/2006/relationships/styles" Target="styles.xml"/><Relationship Id="rId21" Type="http://schemas.openxmlformats.org/officeDocument/2006/relationships/hyperlink" Target="https://www.irs.gov/newsroom/irs-provides-penalty-relief-for-2020-and-2021-tax-returns-help-paying-taxes" TargetMode="External"/><Relationship Id="rId7" Type="http://schemas.openxmlformats.org/officeDocument/2006/relationships/hyperlink" Target="https://www.fincen.gov/sites/default/files/shared/BOI_Small_Compliance_Guide_FINAL_Sept_508C.pdf" TargetMode="External"/><Relationship Id="rId12" Type="http://schemas.openxmlformats.org/officeDocument/2006/relationships/hyperlink" Target="https://www.irs.gov/pub/irs-drop/a-24-03.pdf" TargetMode="External"/><Relationship Id="rId17" Type="http://schemas.openxmlformats.org/officeDocument/2006/relationships/hyperlink" Target="https://www.irs.gov/pub/irs-pdf/i5500ez.pdf" TargetMode="External"/><Relationship Id="rId2" Type="http://schemas.openxmlformats.org/officeDocument/2006/relationships/numbering" Target="numbering.xml"/><Relationship Id="rId16" Type="http://schemas.openxmlformats.org/officeDocument/2006/relationships/hyperlink" Target="https://www.irs.gov/pub/irs-drop/n-24-03.pdf" TargetMode="External"/><Relationship Id="rId20" Type="http://schemas.openxmlformats.org/officeDocument/2006/relationships/hyperlink" Target="https://www.irs.gov/pub/irs-pdf/f8508.pdf" TargetMode="External"/><Relationship Id="rId1" Type="http://schemas.openxmlformats.org/officeDocument/2006/relationships/customXml" Target="../customXml/item1.xml"/><Relationship Id="rId6" Type="http://schemas.openxmlformats.org/officeDocument/2006/relationships/hyperlink" Target="https://apps.irs.gov/app/picklist/list/formsPublications.html" TargetMode="External"/><Relationship Id="rId11" Type="http://schemas.openxmlformats.org/officeDocument/2006/relationships/hyperlink" Target="https://www.irs.gov/newsroom/help-for-businesses-steps-for-withdrawing-an-employee-retention-credit-claim" TargetMode="External"/><Relationship Id="rId5" Type="http://schemas.openxmlformats.org/officeDocument/2006/relationships/webSettings" Target="webSettings.xml"/><Relationship Id="rId15" Type="http://schemas.openxmlformats.org/officeDocument/2006/relationships/hyperlink" Target="https://www.irs.gov/credits-deductions/prevailing-wage-and-apprenticeship-requirements" TargetMode="External"/><Relationship Id="rId23" Type="http://schemas.openxmlformats.org/officeDocument/2006/relationships/theme" Target="theme/theme1.xml"/><Relationship Id="rId10" Type="http://schemas.openxmlformats.org/officeDocument/2006/relationships/hyperlink" Target="https://www.irs.gov/newsroom/help-for-businesses-steps-for-withdrawing-an-employee-retention-credit-claim" TargetMode="External"/><Relationship Id="rId19" Type="http://schemas.openxmlformats.org/officeDocument/2006/relationships/hyperlink" Target="https://www.irs.gov/businesses/business-tax-account" TargetMode="External"/><Relationship Id="rId4" Type="http://schemas.openxmlformats.org/officeDocument/2006/relationships/settings" Target="settings.xml"/><Relationship Id="rId9" Type="http://schemas.openxmlformats.org/officeDocument/2006/relationships/hyperlink" Target="https://www.irs.gov/newsroom/help-for-businesses-steps-for-withdrawing-an-employee-retention-credit-claim" TargetMode="External"/><Relationship Id="rId14" Type="http://schemas.openxmlformats.org/officeDocument/2006/relationships/hyperlink" Target="file:///C:\Users\Barbara\Documents\DeductionsBook\Notice%202022-6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4AADF-94B7-4B39-A922-3CE847C6E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6180</Words>
  <Characters>35231</Characters>
  <Application>Microsoft Office Word</Application>
  <DocSecurity>4</DocSecurity>
  <Lines>293</Lines>
  <Paragraphs>82</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Supplement to J.K. Lasser’s Small Business Taxes 2024</vt:lpstr>
      <vt:lpstr>    </vt:lpstr>
      <vt:lpstr>    Introduction</vt:lpstr>
      <vt:lpstr>    </vt:lpstr>
      <vt:lpstr>    Chapter 1—Business Organization</vt:lpstr>
      <vt:lpstr>    </vt:lpstr>
      <vt:lpstr>    Chapter 2—Tax Year and Accounting Method </vt:lpstr>
      <vt:lpstr>    Chapter 4—Income or Loss from Business Operations</vt:lpstr>
      <vt:lpstr>    Chapter 5—Capital Gains and Losses</vt:lpstr>
      <vt:lpstr>    </vt:lpstr>
      <vt:lpstr>    Chapter 6—Gains and Losses from Sales of Business Property</vt:lpstr>
      <vt:lpstr>    </vt:lpstr>
      <vt:lpstr>    Chapter 7—Employee Compensation</vt:lpstr>
      <vt:lpstr>    Chapter 10—Repairs, Maintenance, and Energy Improvements</vt:lpstr>
      <vt:lpstr>    </vt:lpstr>
      <vt:lpstr>    Chapter 13—Taxes and Interest</vt:lpstr>
      <vt:lpstr>    </vt:lpstr>
      <vt:lpstr>    Chapter 14—First-Year Expensing, Depreciation, Amortization, and Depletion</vt:lpstr>
      <vt:lpstr>    </vt:lpstr>
      <vt:lpstr>    Chapter 16—Retirement Plans</vt:lpstr>
      <vt:lpstr>    </vt:lpstr>
      <vt:lpstr>    Chapter 17—Casualty and Theft Losses</vt:lpstr>
      <vt:lpstr>    Chapter 18—Home Office Deduction</vt:lpstr>
      <vt:lpstr>    Chapter 19—Medical Expenses</vt:lpstr>
      <vt:lpstr>    Chapter 20—Deductions for Farmers</vt:lpstr>
      <vt:lpstr>    </vt:lpstr>
      <vt:lpstr>    Chapter 21—Qualified Business Income Deduction</vt:lpstr>
      <vt:lpstr>    Chapter 22—Miscellaneous Business Deductions</vt:lpstr>
      <vt:lpstr>    </vt:lpstr>
      <vt:lpstr>    Chapter 23—Roundup of Tax Credits</vt:lpstr>
    </vt:vector>
  </TitlesOfParts>
  <Company/>
  <LinksUpToDate>false</LinksUpToDate>
  <CharactersWithSpaces>41329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Weltman</dc:creator>
  <cp:keywords/>
  <dc:description/>
  <cp:lastModifiedBy>Martin, Jean-Karl</cp:lastModifiedBy>
  <cp:revision>2</cp:revision>
  <dcterms:created xsi:type="dcterms:W3CDTF">2024-02-14T15:25:00Z</dcterms:created>
  <dcterms:modified xsi:type="dcterms:W3CDTF">2024-02-14T15:25:00Z</dcterms:modified>
</cp:coreProperties>
</file>